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3530B3" w14:textId="77777777" w:rsidR="00B468EB" w:rsidRDefault="00000000">
      <w:pPr>
        <w:spacing w:after="80"/>
        <w:jc w:val="center"/>
      </w:pPr>
      <w:r>
        <w:rPr>
          <w:b/>
          <w:bCs/>
          <w:color w:val="1F3864"/>
          <w:sz w:val="34"/>
          <w:szCs w:val="34"/>
        </w:rPr>
        <w:t>Your Tribe Already Has Excellent Health Data</w:t>
      </w:r>
    </w:p>
    <w:p w14:paraId="379A4720" w14:textId="77777777" w:rsidR="00B468EB" w:rsidRDefault="00000000">
      <w:pPr>
        <w:spacing w:after="80"/>
        <w:jc w:val="center"/>
      </w:pPr>
      <w:r>
        <w:rPr>
          <w:i/>
          <w:iCs/>
          <w:sz w:val="24"/>
          <w:szCs w:val="24"/>
        </w:rPr>
        <w:t>Turning the Records You Hold into Information You Can Govern By</w:t>
      </w:r>
    </w:p>
    <w:p w14:paraId="34A77975" w14:textId="4D36CCF7" w:rsidR="00B468EB" w:rsidRDefault="00000000">
      <w:pPr>
        <w:spacing w:after="60"/>
        <w:jc w:val="center"/>
      </w:pPr>
      <w:r>
        <w:t>Edward J. Fox, PhD</w:t>
      </w:r>
      <w:r w:rsidR="00926AC6">
        <w:t xml:space="preserve">. This document was written with Artificial Intelligence Assistance.  It is edited to remove and address known AI induced errors. </w:t>
      </w:r>
    </w:p>
    <w:p w14:paraId="17EB4763" w14:textId="77777777" w:rsidR="00B468EB" w:rsidRDefault="00000000">
      <w:pPr>
        <w:pBdr>
          <w:bottom w:val="single" w:sz="6" w:space="8" w:color="1F3864"/>
        </w:pBdr>
        <w:spacing w:after="320"/>
        <w:jc w:val="center"/>
      </w:pPr>
      <w:r>
        <w:rPr>
          <w:color w:val="555555"/>
          <w:sz w:val="19"/>
          <w:szCs w:val="19"/>
        </w:rPr>
        <w:t>A Briefing Paper for Tribal Health Directors, Health Boards, and Tribal Councils — July 2026</w:t>
      </w:r>
    </w:p>
    <w:p w14:paraId="381E5830" w14:textId="77777777" w:rsidR="00B468EB" w:rsidRDefault="00000000">
      <w:pPr>
        <w:pStyle w:val="Heading1"/>
        <w:spacing w:before="320" w:after="160"/>
      </w:pPr>
      <w:r>
        <w:rPr>
          <w:b/>
          <w:bCs/>
          <w:color w:val="1F3864"/>
          <w:sz w:val="26"/>
          <w:szCs w:val="26"/>
        </w:rPr>
        <w:t>I. The Good News, Stated Plainly</w:t>
      </w:r>
    </w:p>
    <w:p w14:paraId="7F29FE41" w14:textId="77777777" w:rsidR="00B468EB" w:rsidRDefault="00000000">
      <w:pPr>
        <w:spacing w:after="200" w:line="276" w:lineRule="auto"/>
        <w:jc w:val="both"/>
      </w:pPr>
      <w:r>
        <w:t>Tribal leaders have heard for decades that Indian Country has a data problem. The Census undercounts our communities. State death certificates record our relatives as white. Federal surveys suppress our numbers as too small to report. All of that is true, and none of it is the subject of this paper. This paper is about something the deficit narrative obscures, and that surprises nearly every health board that hears it for the first time: every Tribe that operates a health program, whether a full ambulatory clinic, a small direct-service site, or a Purchased/Referred Care program and little else, already possesses an excellent, continuously refreshed body of health data about the care its people receive.</w:t>
      </w:r>
    </w:p>
    <w:p w14:paraId="090BF522" w14:textId="77777777" w:rsidR="00B468EB" w:rsidRDefault="00000000">
      <w:pPr>
        <w:spacing w:after="200" w:line="276" w:lineRule="auto"/>
        <w:jc w:val="both"/>
      </w:pPr>
      <w:r>
        <w:t>You did not set out to build this asset. It accumulated as a byproduct of running the program: every registration, every visit, every claim submitted, every remittance posted, every referral written, every PRC decision logged. Three decades of third-party billing, made possible by the self-determination era and the Medicaid and Medicare authorities your Tribes fought to secure, have had an unadvertised consequence: they forced Tribal health programs to document care with the rigor that payment demands. The result is that your program's filing systems and software, whatever their frustrations, now hold answers to questions your council has been asking for years. What does diabetes care actually cost us? Which payers pay and which deny? How many of our patients were referred to a cardiologist and never got there? You do not need a federal grant, a university partnership, or a new data collection effort to begin answering these questions. You need to recognize what you already hold, and to build the governance that lets you transform it responsibly.</w:t>
      </w:r>
    </w:p>
    <w:p w14:paraId="2AC7D406" w14:textId="77777777" w:rsidR="00B468EB" w:rsidRDefault="00000000">
      <w:pPr>
        <w:pBdr>
          <w:left w:val="single" w:sz="12" w:space="8" w:color="1F3864"/>
        </w:pBdr>
        <w:spacing w:before="120" w:after="280" w:line="264" w:lineRule="auto"/>
        <w:ind w:left="504" w:right="504"/>
      </w:pPr>
      <w:r>
        <w:rPr>
          <w:b/>
          <w:bCs/>
          <w:i/>
          <w:iCs/>
          <w:color w:val="1F3864"/>
          <w:sz w:val="23"/>
          <w:szCs w:val="23"/>
        </w:rPr>
        <w:t>The Tribe does not need to go collect health data. The Tribe needs to transform data it already owns into information it can act on.</w:t>
      </w:r>
    </w:p>
    <w:p w14:paraId="4F1DA646" w14:textId="63D32647" w:rsidR="00B468EB" w:rsidRDefault="00000000">
      <w:pPr>
        <w:spacing w:after="200" w:line="276" w:lineRule="auto"/>
        <w:jc w:val="both"/>
      </w:pPr>
      <w:r>
        <w:t>One distinction carries this whole paper, and it is worth thirty seconds of any board meeting to establish. Data are raw records: a claim line, a payment posting,</w:t>
      </w:r>
      <w:r w:rsidR="00D46E29">
        <w:t xml:space="preserve"> an approved payment by Purchase and Referred Care. </w:t>
      </w:r>
      <w:r>
        <w:t xml:space="preserve"> Information is what emerges when records are organized to answer a question. Data sit in systems; information sits in a one-page report the council can </w:t>
      </w:r>
      <w:r w:rsidR="00D46E29">
        <w:t>review and understand</w:t>
      </w:r>
      <w:r>
        <w:t>. The distance between the two is shorter than most Tribal leaders believe, and closing it is a management decision, not a technology purchase.</w:t>
      </w:r>
    </w:p>
    <w:p w14:paraId="3F8098D5" w14:textId="77777777" w:rsidR="00B468EB" w:rsidRDefault="00000000">
      <w:pPr>
        <w:pStyle w:val="Heading1"/>
        <w:spacing w:before="320" w:after="160"/>
      </w:pPr>
      <w:r>
        <w:rPr>
          <w:b/>
          <w:bCs/>
          <w:color w:val="1F3864"/>
          <w:sz w:val="26"/>
          <w:szCs w:val="26"/>
        </w:rPr>
        <w:t>II. First Things First: This Data Is Sacred Ground</w:t>
      </w:r>
    </w:p>
    <w:p w14:paraId="4373EF35" w14:textId="77777777" w:rsidR="00B468EB" w:rsidRDefault="00000000">
      <w:pPr>
        <w:spacing w:after="200" w:line="276" w:lineRule="auto"/>
        <w:jc w:val="both"/>
      </w:pPr>
      <w:r>
        <w:t xml:space="preserve">Before naming what you hold, name what it is. The records described in this paper include the most sensitive personal information that exists about your Tribal citizens: their diagnoses, their medications, their behavioral health encounters, their family circumstances as a provider </w:t>
      </w:r>
      <w:r>
        <w:lastRenderedPageBreak/>
        <w:t>recorded them. In nearly every case, access to an individual's health information belongs to two people, the patient and the attending provider, and to no one else without a specific, limited, justified purpose. A council member has no right to a citizen's chart. A health director reviewing operations has no need to know which neighbor filled which prescription. This restriction is not bureaucratic caution and it is not an obstacle to the work this paper proposes. It is the ethical foundation that makes the work legitimate, and in a small community, where the billing clerk may be the patient's cousin and everyone knows whose truck was at the clinic, it demands more discipline from a Tribal program than from an urban hospital, not less.</w:t>
      </w:r>
    </w:p>
    <w:p w14:paraId="51AC9733" w14:textId="77777777" w:rsidR="00B468EB" w:rsidRDefault="00000000">
      <w:pPr>
        <w:spacing w:after="200" w:line="276" w:lineRule="auto"/>
        <w:jc w:val="both"/>
      </w:pPr>
      <w:r>
        <w:t>It is precisely this sensitivity that restricts how data can be collected, combined, and analyzed at the group level. The route from individual records to community information runs through a small set of protective practices: de-identification, so that reports describe patterns rather than persons; aggregation with small-cell suppression, so that a table of counts cannot be reverse-read to identify a neighbor in a community where categories are small; minimum-necessary access, so that each staff role sees only what the role requires; and written Tribal authority over every use, internal or external. A Tribal health program is a covered entity under HIPAA, and federal privacy law sets the floor. But the ceiling is set by the Tribe itself, as a sovereign act. Your data governance code, your research review requirements, your data sharing agreements with states and universities, these are exercises of self-determination as surely as a compact under the ISDEAA. The principle to carry into every discussion that follows is simple: the community owns its story; the person owns their chart.</w:t>
      </w:r>
    </w:p>
    <w:p w14:paraId="65315C49" w14:textId="77777777" w:rsidR="00B468EB" w:rsidRDefault="00000000">
      <w:pPr>
        <w:pStyle w:val="Heading1"/>
        <w:spacing w:before="320" w:after="160"/>
      </w:pPr>
      <w:r>
        <w:rPr>
          <w:b/>
          <w:bCs/>
          <w:color w:val="1F3864"/>
          <w:sz w:val="26"/>
          <w:szCs w:val="26"/>
        </w:rPr>
        <w:t>III. What You Hold: Naming the Five Assets</w:t>
      </w:r>
    </w:p>
    <w:p w14:paraId="31AE57C7" w14:textId="77777777" w:rsidR="00B468EB" w:rsidRDefault="00000000">
      <w:pPr>
        <w:spacing w:after="200" w:line="276" w:lineRule="auto"/>
        <w:jc w:val="both"/>
      </w:pPr>
      <w:r>
        <w:t>What follows is a taxonomy, a set of names for the categories of data your program already generates. Naming matters. A board that can name its data assets can ask for them, budget for them, and govern them. The list is not complete, and Section IV notes what else sits on the shelf, but these five categories are present in virtually every Tribal health program in the country.</w:t>
      </w:r>
    </w:p>
    <w:p w14:paraId="086A3F6B" w14:textId="77777777" w:rsidR="00B468EB" w:rsidRDefault="00000000">
      <w:pPr>
        <w:pStyle w:val="Heading2"/>
        <w:spacing w:before="240" w:after="120"/>
      </w:pPr>
      <w:r>
        <w:rPr>
          <w:b/>
          <w:bCs/>
          <w:i/>
          <w:iCs/>
          <w:color w:val="1F3864"/>
          <w:sz w:val="23"/>
          <w:szCs w:val="23"/>
        </w:rPr>
        <w:t>Asset One: Financial and Cost Data</w:t>
      </w:r>
    </w:p>
    <w:p w14:paraId="6F0FA257" w14:textId="77777777" w:rsidR="00B468EB" w:rsidRDefault="00000000">
      <w:pPr>
        <w:spacing w:after="200" w:line="276" w:lineRule="auto"/>
        <w:jc w:val="both"/>
      </w:pPr>
      <w:r>
        <w:t>Your general ledger, cost reports, payroll by department, encounter-rate workpapers, and expenditures by service line together answer the question: what does care cost us, and who bears that cost? Organized well, this data tells the council the true cost of a dental visit, the net cost of the diabetes program after third-party revenue, and the share of the health budget carried by Tribal hard dollars versus IHS allocation versus billing income. Most programs already produce fragments of this information for audits and the IHS encounter-rate process; the transformation step is assembling it by service line and by payer so that leadership sees the program the way a steward must.</w:t>
      </w:r>
    </w:p>
    <w:p w14:paraId="45D3E5D5" w14:textId="77777777" w:rsidR="00B468EB" w:rsidRDefault="00000000">
      <w:pPr>
        <w:pStyle w:val="Heading2"/>
        <w:spacing w:before="240" w:after="120"/>
      </w:pPr>
      <w:r>
        <w:rPr>
          <w:b/>
          <w:bCs/>
          <w:i/>
          <w:iCs/>
          <w:color w:val="1F3864"/>
          <w:sz w:val="23"/>
          <w:szCs w:val="23"/>
        </w:rPr>
        <w:t>Asset Two: Claims and Encounter Data</w:t>
      </w:r>
    </w:p>
    <w:p w14:paraId="6D24EA60" w14:textId="77777777" w:rsidR="00B468EB" w:rsidRDefault="00000000">
      <w:pPr>
        <w:spacing w:after="200" w:line="276" w:lineRule="auto"/>
        <w:jc w:val="both"/>
      </w:pPr>
      <w:r>
        <w:t xml:space="preserve">Every claim your program submits carries diagnosis codes and procedure codes: a structured record of who was seen, for what condition as coded, and what was done. In the aggregate, and properly de-identified, claims data is the workhorse of population health everywhere in American medicine, and yours can tell you how many patients carry a diabetes diagnosis, how many were seen for depression, how emergency department claims trend against primary care visits. One </w:t>
      </w:r>
      <w:r>
        <w:lastRenderedPageBreak/>
        <w:t>honest caveat belongs in every board presentation of claims-based information: claims identify disease roughly, and only somewhat roughly is the right way to say it. A claim records disease as coded for payment, not disease as it lives in the patient. Coding practices vary among providers, payer rules shape what gets coded, and care delivered but never billed leaves no claim at all. Roughness, however, is not uselessness. It means claims-based counts are best read as floors and as trends, powerful for direction and magnitude, imprecise at the decimal point, and every sophisticated health system in the country runs on them anyway.</w:t>
      </w:r>
    </w:p>
    <w:p w14:paraId="3C406873" w14:textId="77777777" w:rsidR="00B468EB" w:rsidRDefault="00000000">
      <w:pPr>
        <w:pStyle w:val="Heading2"/>
        <w:spacing w:before="240" w:after="120"/>
      </w:pPr>
      <w:r>
        <w:rPr>
          <w:b/>
          <w:bCs/>
          <w:i/>
          <w:iCs/>
          <w:color w:val="1F3864"/>
          <w:sz w:val="23"/>
          <w:szCs w:val="23"/>
        </w:rPr>
        <w:t>Asset Three: Payment and Remittance Data</w:t>
      </w:r>
    </w:p>
    <w:p w14:paraId="0DF3DC1F" w14:textId="77777777" w:rsidR="00B468EB" w:rsidRDefault="00000000">
      <w:pPr>
        <w:spacing w:after="200" w:line="276" w:lineRule="auto"/>
        <w:jc w:val="both"/>
      </w:pPr>
      <w:r>
        <w:t>Distinct from what care costs is what payers actually did about it. Your remittance advices, explanation-of-benefits records, denial codes, and accounts receivable aging measure the behavior of Medicaid, Medicare, and private insurers toward your program: what was billed versus what was paid, which claim types are denied and for what stated reasons, how long each payer takes, and what your collection rate is by payer. This is the data that funds the program's future, because in the modern Tribal health economy third-party revenue is what builds the new wing and hires the second physician. A board that reviews a quarterly payer scorecard, denial rates, days in receivables, net collections by payer, is exercising fiscal oversight at the level the program deserves, and is armed for the conversations with the state Medicaid agency that every Tribal program eventually must have.</w:t>
      </w:r>
    </w:p>
    <w:p w14:paraId="5F504AA8" w14:textId="77777777" w:rsidR="00B468EB" w:rsidRDefault="00000000">
      <w:pPr>
        <w:pStyle w:val="Heading2"/>
        <w:spacing w:before="240" w:after="120"/>
      </w:pPr>
      <w:r>
        <w:rPr>
          <w:b/>
          <w:bCs/>
          <w:i/>
          <w:iCs/>
          <w:color w:val="1F3864"/>
          <w:sz w:val="23"/>
          <w:szCs w:val="23"/>
        </w:rPr>
        <w:t>Asset Four: Clinical Documentation</w:t>
      </w:r>
    </w:p>
    <w:p w14:paraId="264CEE1E" w14:textId="77777777" w:rsidR="00B468EB" w:rsidRDefault="00000000">
      <w:pPr>
        <w:spacing w:after="200" w:line="276" w:lineRule="auto"/>
        <w:jc w:val="both"/>
      </w:pPr>
      <w:r>
        <w:t>The richest layer, and by far the most sensitive, is what providers write: progress notes, problem lists, medication lists, referral letters, care plans. This is where the fullness of each patient's story lives, and it is the layer where the patient-and-provider restriction applies with almost no exceptions. At the group level, clinical documentation supports quality measurement, the GPRA and quality-reporting extracts your program likely already runs, chronic disease registries maintained by the clinical team, and, with scrupulous de-identification and Tribal approval, studies of whether recommended care was delivered. The board's relationship to this asset is deliberately arm's length: leadership should receive measures and registry counts, never charts, and should take pride in the distance. A council that never sees a citizen's record, and says so publicly, is building the community trust on which every other use of health data depends.</w:t>
      </w:r>
    </w:p>
    <w:p w14:paraId="7057BBA1" w14:textId="77777777" w:rsidR="00B468EB" w:rsidRDefault="00000000">
      <w:pPr>
        <w:pStyle w:val="Heading2"/>
        <w:spacing w:before="240" w:after="120"/>
      </w:pPr>
      <w:r>
        <w:rPr>
          <w:b/>
          <w:bCs/>
          <w:i/>
          <w:iCs/>
          <w:color w:val="1F3864"/>
          <w:sz w:val="23"/>
          <w:szCs w:val="23"/>
        </w:rPr>
        <w:t>Asset Five: PRC Referral, Deferral, Denial, and Stewardship Records</w:t>
      </w:r>
    </w:p>
    <w:p w14:paraId="70C5FB4F" w14:textId="77777777" w:rsidR="00B468EB" w:rsidRDefault="00000000">
      <w:pPr>
        <w:spacing w:after="200" w:line="276" w:lineRule="auto"/>
        <w:jc w:val="both"/>
      </w:pPr>
      <w:r>
        <w:t>The fifth asset deserves special attention because almost no one else in American health care has it. Your Purchased/Referred Care program keeps records of every decision made at the point where recommended care meets finite resources: referrals issued, deferrals by medical priority level, denials, authorizations with conditions, and the reasons attached to each. To use this asset well, the board must understand that it records two different kinds of decisions, and the difference matters enormously.</w:t>
      </w:r>
    </w:p>
    <w:p w14:paraId="7646EE39" w14:textId="77777777" w:rsidR="00B468EB" w:rsidRDefault="00000000">
      <w:pPr>
        <w:spacing w:after="200" w:line="276" w:lineRule="auto"/>
        <w:jc w:val="both"/>
      </w:pPr>
      <w:r>
        <w:t xml:space="preserve">The first kind is rationing: beneficial, appropriate care deferred or denied solely because the money ran out. A priority-one referral deferred for want of funds, a needed surgery pushed to the next fiscal year, a denial that later returns as an emergency at triple the cost. In the aggregate, these records are a measured ledger of unmet need, a running tally of the gap between the care your people required and the care the funding allowed. No hospital system, no insurer, no state </w:t>
      </w:r>
      <w:r>
        <w:lastRenderedPageBreak/>
        <w:t>agency holds a comparable ledger, because no one else is required to document that moment. When your Tribe testifies on the IHS budget or presents to a congressional delegation, this is the most credible evidence of underfunding that exists anywhere in the system.</w:t>
      </w:r>
    </w:p>
    <w:p w14:paraId="1A2DE989" w14:textId="77777777" w:rsidR="00B468EB" w:rsidRDefault="00000000">
      <w:pPr>
        <w:spacing w:after="200" w:line="276" w:lineRule="auto"/>
        <w:jc w:val="both"/>
      </w:pPr>
      <w:r>
        <w:t>The second kind is not rationing at all, and it deserves its own name: stewardship decisions. These are the choices where the question is not whether the Tribe can afford the care but whether the care, purchased this way, for this patient, at this time, can be expected to produce health. Does the program commit to a two-year orthodontic regimen for a child whose family has missed ninety percent of scheduled appointments, or does it first invest in the case management and transportation that would make the treatment succeed? When a patient who has completed detoxification five times in five years needs it a sixth time, the question is never whether the patient deserves care, they do, but whether purchasing the same intervention the same way serves them, when the episode history itself argues for pairing detox with medication-assisted treatment and structured aftercare. How does the program design an effective pain management protocol, balancing genuine relief against dependency risk, informed by refill patterns and functional outcomes rather than by anecdote? These are, in the language of the field, expected-benefit determinations and care-design choices, and your PRC and clinical records already contain the adherence histories, treatment episodes, and outcomes that should inform them.</w:t>
      </w:r>
    </w:p>
    <w:p w14:paraId="6E64E4BD" w14:textId="77777777" w:rsidR="00B468EB" w:rsidRDefault="00000000">
      <w:pPr>
        <w:spacing w:after="200" w:line="276" w:lineRule="auto"/>
        <w:jc w:val="both"/>
      </w:pPr>
      <w:r>
        <w:t>Keep the two kinds in two columns, because each is powerful only when unmixed. The rationing ledger belongs in budget testimony, and it becomes unrebuttable precisely when it contains nothing but funding denials of appropriate care; let a skeptical appropriator find one stewardship decision inside your unmet-need figure and the whole number is discounted. The stewardship record belongs in quality and care-management reporting, where it shows the community something equally important: that its health program deploys scarce resources with judgment, learning from its own data rather than simply pleading scarcity. One governance requirement applies to stewardship decisions with special force. Because they involve judgment about individual circumstances, they must rest on written criteria, transparently applied, with a stated reason and a path of appeal for every decision, so that in a small community the difference between stewardship and arbitrariness is always visible on paper. A program that can show its criteria has nothing to hide; a program that cannot will be suspected of favoritism whether it deserves it or not.</w:t>
      </w:r>
    </w:p>
    <w:p w14:paraId="2FA81ACD" w14:textId="77777777" w:rsidR="00B468EB" w:rsidRDefault="00000000">
      <w:pPr>
        <w:pStyle w:val="Heading1"/>
        <w:spacing w:before="320" w:after="160"/>
      </w:pPr>
      <w:r>
        <w:rPr>
          <w:b/>
          <w:bCs/>
          <w:color w:val="1F3864"/>
          <w:sz w:val="26"/>
          <w:szCs w:val="26"/>
        </w:rPr>
        <w:t>IV. And More Besides</w:t>
      </w:r>
    </w:p>
    <w:p w14:paraId="5F18F2C7" w14:textId="77777777" w:rsidR="00B468EB" w:rsidRDefault="00000000">
      <w:pPr>
        <w:spacing w:after="200" w:line="276" w:lineRule="auto"/>
        <w:jc w:val="both"/>
      </w:pPr>
      <w:r>
        <w:t>The five named assets are not the whole inventory. Registration and eligibility files describe the population your program serves, its age structure, its coverage status, its geography. Pharmacy records document what was dispensed and, by refill patterns, hint at what was sustained. Laboratory results carry clinical values that claims never capture. Community health representative and public health nursing logs record the home-visit layer of care that appears in no billing system at all. Patient survey and complaint files hold the community's own account of the program. Each of these can be named, governed, and transformed by the same principles as the five, and a mature Tribal data program will eventually inventory all of them. The point of this paper is not the completeness of the list. It is that the list exists at all, in your program, today.</w:t>
      </w:r>
    </w:p>
    <w:p w14:paraId="5B26A0FF" w14:textId="77777777" w:rsidR="00B468EB" w:rsidRDefault="00000000">
      <w:pPr>
        <w:pStyle w:val="Heading1"/>
        <w:spacing w:before="320" w:after="160"/>
      </w:pPr>
      <w:r>
        <w:rPr>
          <w:b/>
          <w:bCs/>
          <w:color w:val="1F3864"/>
          <w:sz w:val="26"/>
          <w:szCs w:val="26"/>
        </w:rPr>
        <w:lastRenderedPageBreak/>
        <w:t>V. From Records to a One-Page Report: How the Transformation Works</w:t>
      </w:r>
    </w:p>
    <w:p w14:paraId="73FB3545" w14:textId="77777777" w:rsidR="00B468EB" w:rsidRDefault="00000000">
      <w:pPr>
        <w:spacing w:after="200" w:line="276" w:lineRule="auto"/>
        <w:jc w:val="both"/>
      </w:pPr>
      <w:r>
        <w:t>The transformation from data to information does not begin with software. It begins with a question the council actually cares about, and it proceeds through a repeatable path: name the question; identify which of the five assets can answer it; extract and de-identify; aggregate with small-cell protection; and present one page, with the honest caveats attached. Consider three examples of the kind of questions the assets can answer, each drawn from a different pairing of the five.</w:t>
      </w:r>
    </w:p>
    <w:p w14:paraId="073781B8" w14:textId="77777777" w:rsidR="00B468EB" w:rsidRDefault="00000000">
      <w:pPr>
        <w:pBdr>
          <w:left w:val="single" w:sz="12" w:space="8" w:color="70AD47"/>
        </w:pBdr>
        <w:spacing w:before="80" w:after="60"/>
        <w:ind w:left="504"/>
      </w:pPr>
      <w:r>
        <w:rPr>
          <w:b/>
          <w:bCs/>
          <w:color w:val="375623"/>
          <w:sz w:val="20"/>
          <w:szCs w:val="20"/>
        </w:rPr>
        <w:t>What is our diabetes burden and what does it cost us?</w:t>
      </w:r>
    </w:p>
    <w:p w14:paraId="777827AA" w14:textId="77777777" w:rsidR="00B468EB" w:rsidRDefault="00000000">
      <w:pPr>
        <w:pBdr>
          <w:left w:val="single" w:sz="12" w:space="8" w:color="70AD47"/>
        </w:pBdr>
        <w:spacing w:after="260" w:line="264" w:lineRule="auto"/>
        <w:ind w:left="504"/>
      </w:pPr>
      <w:r>
        <w:rPr>
          <w:i/>
          <w:iCs/>
          <w:sz w:val="20"/>
          <w:szCs w:val="20"/>
        </w:rPr>
        <w:t>Claims data yields the count of patients with diabetes diagnoses and their service use; financial data yields cost by service line; payment data yields what third parties reimbursed. The one-page answer: how many patients, trend over three years, net cost to the Tribe after revenue.</w:t>
      </w:r>
    </w:p>
    <w:p w14:paraId="57968AF5" w14:textId="77777777" w:rsidR="00B468EB" w:rsidRDefault="00000000">
      <w:pPr>
        <w:pBdr>
          <w:left w:val="single" w:sz="12" w:space="8" w:color="70AD47"/>
        </w:pBdr>
        <w:spacing w:before="80" w:after="60"/>
        <w:ind w:left="504"/>
      </w:pPr>
      <w:r>
        <w:rPr>
          <w:b/>
          <w:bCs/>
          <w:color w:val="375623"/>
          <w:sz w:val="20"/>
          <w:szCs w:val="20"/>
        </w:rPr>
        <w:t>Where is the system failing our patients, and where are we making hard choices well?</w:t>
      </w:r>
    </w:p>
    <w:p w14:paraId="455DCFEA" w14:textId="77777777" w:rsidR="00B468EB" w:rsidRDefault="00000000">
      <w:pPr>
        <w:pBdr>
          <w:left w:val="single" w:sz="12" w:space="8" w:color="70AD47"/>
        </w:pBdr>
        <w:spacing w:after="260" w:line="264" w:lineRule="auto"/>
        <w:ind w:left="504"/>
      </w:pPr>
      <w:r>
        <w:rPr>
          <w:i/>
          <w:iCs/>
          <w:sz w:val="20"/>
          <w:szCs w:val="20"/>
        </w:rPr>
        <w:t>PRC records, sorted into their two columns, yield the rationing ledger (deferrals and denials of appropriate care for lack of funds, by priority level and service) and the stewardship record (expected-benefit and care-design decisions, with their criteria and outcomes). The one-page answer: the size and shape of unmet need for the budget hearing, and a separate quality report showing resources deployed with judgment.</w:t>
      </w:r>
    </w:p>
    <w:p w14:paraId="3AFE27F6" w14:textId="77777777" w:rsidR="00B468EB" w:rsidRDefault="00000000">
      <w:pPr>
        <w:pBdr>
          <w:left w:val="single" w:sz="12" w:space="8" w:color="70AD47"/>
        </w:pBdr>
        <w:spacing w:before="80" w:after="60"/>
        <w:ind w:left="504"/>
      </w:pPr>
      <w:r>
        <w:rPr>
          <w:b/>
          <w:bCs/>
          <w:color w:val="375623"/>
          <w:sz w:val="20"/>
          <w:szCs w:val="20"/>
        </w:rPr>
        <w:t>Which payers are treating us fairly?</w:t>
      </w:r>
    </w:p>
    <w:p w14:paraId="434FEE0C" w14:textId="77777777" w:rsidR="00B468EB" w:rsidRDefault="00000000">
      <w:pPr>
        <w:pBdr>
          <w:left w:val="single" w:sz="12" w:space="8" w:color="70AD47"/>
        </w:pBdr>
        <w:spacing w:after="260" w:line="264" w:lineRule="auto"/>
        <w:ind w:left="504"/>
      </w:pPr>
      <w:r>
        <w:rPr>
          <w:i/>
          <w:iCs/>
          <w:sz w:val="20"/>
          <w:szCs w:val="20"/>
        </w:rPr>
        <w:t>Payment and remittance data yields denial rates, payment lag, and net collection rate by payer, quarter over quarter. The one-page answer: a payer scorecard, and an agenda for the next meeting with the state.</w:t>
      </w:r>
    </w:p>
    <w:p w14:paraId="6C6C087D" w14:textId="77777777" w:rsidR="00B468EB" w:rsidRDefault="00000000">
      <w:pPr>
        <w:spacing w:after="200" w:line="276" w:lineRule="auto"/>
        <w:jc w:val="both"/>
      </w:pPr>
      <w:r>
        <w:t>Notice what these examples require: a staff member or contractor with report-writing skills, a governance policy that authorizes the use, and leadership that asks the question. Notice also what they do not require: any access by leadership to an identified record, any new collection burden on patients or providers, or any permission from a federal agency. The Tribe is transforming its own property under its own law.</w:t>
      </w:r>
    </w:p>
    <w:p w14:paraId="078EA437" w14:textId="77777777" w:rsidR="00B468EB" w:rsidRDefault="00000000">
      <w:pPr>
        <w:pStyle w:val="Heading2"/>
        <w:spacing w:before="240" w:after="120"/>
      </w:pPr>
      <w:r>
        <w:rPr>
          <w:b/>
          <w:bCs/>
          <w:i/>
          <w:iCs/>
          <w:color w:val="1F3864"/>
          <w:sz w:val="23"/>
          <w:szCs w:val="23"/>
        </w:rPr>
        <w:t>What Not to Build</w:t>
      </w:r>
    </w:p>
    <w:p w14:paraId="063E8EC0" w14:textId="77777777" w:rsidR="00B468EB" w:rsidRDefault="00000000">
      <w:pPr>
        <w:spacing w:after="200" w:line="276" w:lineRule="auto"/>
        <w:jc w:val="both"/>
      </w:pPr>
      <w:r>
        <w:t>One caution belongs here, because the argument of this paper can be taken too far. The data is already yours and the collection is already paid for, but the transformation is not free: every recurring report costs staff time permanently, and in a program where the same person bills, codes, and reconciles, an hour spent producing a chart is an hour not spent collecting revenue. A board can do real damage by ordering five reports at once, and the damage is invisible in the budget because it appears as a billing clerk falling behind rather than as a line item. The test for any proposed report is not whether the data exists, in a Tribal health program it almost always does, but whether a decision would change depending on the answer. If the council would take the same action whichever way the number came out, the report is a curiosity, and curiosity is a luxury a two-person business office cannot subsidize. Build one report, use it until it is routine, and let the demand for the second one come from a question that the first could not answer.</w:t>
      </w:r>
    </w:p>
    <w:p w14:paraId="28F71B24" w14:textId="77777777" w:rsidR="00B468EB" w:rsidRDefault="00000000">
      <w:pPr>
        <w:pStyle w:val="Heading1"/>
        <w:spacing w:before="320" w:after="160"/>
      </w:pPr>
      <w:r>
        <w:rPr>
          <w:b/>
          <w:bCs/>
          <w:color w:val="1F3864"/>
          <w:sz w:val="26"/>
          <w:szCs w:val="26"/>
        </w:rPr>
        <w:t>VI. Field Notes: Start Where the Data Already Flows Weekly</w:t>
      </w:r>
    </w:p>
    <w:p w14:paraId="2AD9012E" w14:textId="77777777" w:rsidR="00B468EB" w:rsidRDefault="00000000">
      <w:pPr>
        <w:spacing w:after="200" w:line="276" w:lineRule="auto"/>
        <w:jc w:val="both"/>
      </w:pPr>
      <w:r>
        <w:lastRenderedPageBreak/>
        <w:t>Field experience suggests a practical path from data to information, and it begins with an example that surprises most boards. Did you know that state Medicaid payments arrive weekly? Every week, the state issues payment for your program's Medicaid claims, and some states regularly pay within two weeks of a submitted claim, which means the information is not merely regular but timely: what the chart shows is what happened in the clinic a fortnight ago, not a quarter ago. Nor is this timeliness a courtesy. Federal law requires prompt payment of Medicaid claims, and prompt has a precise definition: under 42 CFR 447.45, the state must pay 90 percent of clean claims within 30 days of receipt and 99 percent within 90 days, a standard that managed care contracts must carry as well. A program that watches its weekly payments is, among other things, monitoring the state's compliance with a federal entitlement. The remittance detail behind those payments can be delivered to the clinic weekly, either directly from the state or routed through the Tribe's central financial system. Depending on your community's coverage rates, those payments may represent anywhere from a quarter to three-quarters of your program's patients. And the detail is richer than a dollar total: it typically breaks down by modality across the four lines a Tribal program runs, Alcohol and substance use services, Mental Health, Medical, and Dental. In many programs, this detail is posted to the general ledger as a lump sum and the breakdown is filed unread. That is a missed opportunity twice over, and correcting it costs almost nothing.</w:t>
      </w:r>
    </w:p>
    <w:p w14:paraId="620F1807" w14:textId="77777777" w:rsidR="00B468EB" w:rsidRDefault="00000000">
      <w:pPr>
        <w:spacing w:after="200" w:line="276" w:lineRule="auto"/>
        <w:jc w:val="both"/>
      </w:pPr>
      <w:r>
        <w:t>Read weekly, the four modality lines become an early warning system. A line that sags for two consecutive weeks is a smoke alarm sounding months before the year-end financials would ring it: a provider's credentialing or licensure lapsed and claims are silently denying; a coding or billing staff vacancy is backing up submissions; the state changed a prior authorization or documentation rule for behavioral health and nobody circulated the bulletin; patient Medicaid enrollment is churning after a renewal cycle. Every one of these problems is cheap to fix in week two and expensive to discover in month eleven. Read the same lines the other direction and they become a revenue instrument: when the dental clinic's encounter volume rises but the dental payment line stays flat, unbilled or underbilled services are leaking; when the mental health line runs far below what the visit schedule implies, there is income the program has earned and not collected. The comparison of what was delivered against what was paid, by modality, week over week, is the single fastest route from raw data to money-relevant information available to a Tribal health program.</w:t>
      </w:r>
    </w:p>
    <w:p w14:paraId="7819A7F8" w14:textId="77777777" w:rsidR="00B468EB" w:rsidRDefault="00000000">
      <w:pPr>
        <w:spacing w:after="200" w:line="276" w:lineRule="auto"/>
        <w:jc w:val="both"/>
      </w:pPr>
      <w:r>
        <w:t xml:space="preserve">The example generalizes into a path, and the path is the real lesson from the field. Start with a data stream that satisfies three tests: it arrives on its own schedule, so no one must go collect it; it requires no access to identified health information, so it can be worked immediately under the strictest privacy rules; and it connects to money, so leadership attention is automatic. The weekly remittance stream passes all three. Then keep the practice almost embarrassingly simple: one named person owns it; the product is a one-page chart with four lines, updated every week; and a standing rule triggers action, any modality down two weeks running gets a phone call to find out why. Field experience is unambiguous that the weekly rhythm is what builds the institution: a report that arrives every Tuesday trains a program to expect information, and after six months of the four-line chart, the same program has the confidence, the habits, and the credibility to take on the quarterly payer scorecard, then the PRC two-column report, then de-identified clinical </w:t>
      </w:r>
      <w:r>
        <w:lastRenderedPageBreak/>
        <w:t>measures. Data capability is built the way clinical capability is built, one competency at a time, starting with the one that pays for the rest.</w:t>
      </w:r>
    </w:p>
    <w:p w14:paraId="0B4DD6B9" w14:textId="77777777" w:rsidR="00B468EB" w:rsidRDefault="00000000">
      <w:pPr>
        <w:spacing w:after="200" w:line="276" w:lineRule="auto"/>
        <w:jc w:val="both"/>
      </w:pPr>
      <w:r>
        <w:t>One routing detail decides whether any of this happens, and it is the commonest point of failure in practice. Where the state pays the Tribe's central finance office rather than the clinic, the remittance detail often lives in finance and is never seen by anyone who can interpret a modality line; the health program sees a revenue transfer and nothing else. The fix is administrative, not technical: a standing internal agreement that the full weekly remittance detail flows to the health program's designated analyst at the same time it reaches the accounting system. A board motion of one sentence accomplishes it.</w:t>
      </w:r>
    </w:p>
    <w:p w14:paraId="443333D3" w14:textId="77777777" w:rsidR="00B468EB" w:rsidRDefault="00000000">
      <w:pPr>
        <w:pStyle w:val="Heading1"/>
        <w:spacing w:before="320" w:after="160"/>
      </w:pPr>
      <w:r>
        <w:rPr>
          <w:b/>
          <w:bCs/>
          <w:color w:val="1F3864"/>
          <w:sz w:val="26"/>
          <w:szCs w:val="26"/>
        </w:rPr>
        <w:t>VII. A Word About the Holy Grail: The Electronic Health Record</w:t>
      </w:r>
    </w:p>
    <w:p w14:paraId="7B57FD77" w14:textId="77777777" w:rsidR="00B468EB" w:rsidRDefault="00000000">
      <w:pPr>
        <w:spacing w:after="200" w:line="276" w:lineRule="auto"/>
        <w:jc w:val="both"/>
      </w:pPr>
      <w:r>
        <w:t>No paper on Tribal health data can avoid the subject that dominates every health IT conversation in Indian Country: the electronic health record. For many programs the EHR has become a holy grail, the system that, once it arrives, will finally make the data problem go away. And the grail has a name and a schedule. The IHS modernization program, now in roughly its seventh or eighth year since planning began, is replacing the forty-year-old RPMS with a new commercial system, PATH EHR, built on Oracle Health technology. The pilot goes live at a single Oklahoma service unit in 2026, broader rollout to federal, Tribal, and urban sites begins in 2027, and full implementation across Indian Country lies years beyond that, on a schedule that history counsels us to hold loosely: the Department of Veterans Affairs, running a parallel modernization on the same commercial platform with far greater resources, paused its rollout over safety concerns and, nearly a decade in, has converted only a handful of its medical centers. Modernization is necessary, the decision to buy rather than build was sound, and the new system will eventually be a genuine improvement. It will also arrive later than promised at nearly every site, because such systems always do.</w:t>
      </w:r>
    </w:p>
    <w:p w14:paraId="79A3B9EF" w14:textId="77777777" w:rsidR="00B468EB" w:rsidRDefault="00000000">
      <w:pPr>
        <w:spacing w:after="200" w:line="276" w:lineRule="auto"/>
        <w:jc w:val="both"/>
      </w:pPr>
      <w:r>
        <w:t>Here is the truth this paper asks boards to hold alongside their hopes for the new system: an electronic health record is a data-capture instrument, not an information program. The grail records what happens in the exam room; it does not, by itself, produce the weekly four-line chart, the payer scorecard, the PRC two-column report, or any of the one-page answers described in this paper. There are programs running gleaming commercial EHRs today that remain data-rich and information-poor, because no one was assigned the questions, and there are programs on thirty-year-old RPMS producing a disciplined weekly report that reaches the board every Tuesday. The difference between them is not the software. It is the practice, and the practice is available now.</w:t>
      </w:r>
    </w:p>
    <w:p w14:paraId="192101D5" w14:textId="77777777" w:rsidR="00B468EB" w:rsidRDefault="00000000">
      <w:pPr>
        <w:spacing w:after="200" w:line="276" w:lineRule="auto"/>
        <w:jc w:val="both"/>
      </w:pPr>
      <w:r>
        <w:t xml:space="preserve">The practical conclusion is the opposite of waiting. Every asset named in this paper, and the entire path in Section VI, works on RPMS today, works on whatever commercial system a Tribe may already run, and will work on PATH EHR when it arrives; the weekly remittance stream, in particular, comes from the state, not from any EHR at all. Better still, the disciplines built now are the finest possible preparation for conversion. A program that already knows its numbers, its modality lines, its denial rates, its registries, its unmet-need ledger, will walk into an EHR migration able to specify what the new system must produce, to test whether it does, and to notice immediately if a converted report goes wrong. A program that never built the practice will discover </w:t>
      </w:r>
      <w:r>
        <w:lastRenderedPageBreak/>
        <w:t>neither what the conversion lost nor what the new system could give. The grail rewards the prepared.</w:t>
      </w:r>
    </w:p>
    <w:p w14:paraId="22501389" w14:textId="77777777" w:rsidR="00B468EB" w:rsidRDefault="00000000">
      <w:pPr>
        <w:spacing w:after="200" w:line="276" w:lineRule="auto"/>
        <w:jc w:val="both"/>
      </w:pPr>
      <w:r>
        <w:t>One conversion duty belongs to the board specifically, and it should be raised years before any go-live date: the fate of the legacy data. Decades of your community's health records live in the current system, and migration to any new platform raises the questions of what converts, what is archived, where the archive resides, and under whose authority. A dose of field realism belongs in this conversation, because it protects the board from vendors and from sentimentality alike: in daily practice, clinicians almost never look back more than about two years in a patient's record, and in the paper era no one could look back much further without a trip to the basement, a limitation nobody much mourned. Forty years of charts are not forty years of clinically precious information. What endures selectively, immunization history, documented allergic reactions, surgical and pathology history, the active problem and medication lists, should convert into the new system; the rest belongs in an accessible archive, and the expensive dream of converting everything is exactly the kind of scope that delays go-lives and inflates contracts. The IHS is establishing an enterprise archive for legacy patient data as part of the modernization, which makes the governance question concrete rather than hypothetical: the board should ask, in writing and well in advance, what converts and what is archived, who will hold the archive, under what data sharing terms, and how our program will access it afterward. Tribal data sovereignty applies with special force at the moment of migration, because the moment of migration is when data changes hands.</w:t>
      </w:r>
    </w:p>
    <w:p w14:paraId="750A295C" w14:textId="77777777" w:rsidR="00B468EB" w:rsidRDefault="00000000">
      <w:pPr>
        <w:pStyle w:val="Heading1"/>
        <w:spacing w:before="320" w:after="160"/>
      </w:pPr>
      <w:r>
        <w:rPr>
          <w:b/>
          <w:bCs/>
          <w:color w:val="1F3864"/>
          <w:sz w:val="26"/>
          <w:szCs w:val="26"/>
        </w:rPr>
        <w:t>VIII. You Are Not Working Alone: The Wider Public Health Data Ecosystem</w:t>
      </w:r>
    </w:p>
    <w:p w14:paraId="21E1B046" w14:textId="77777777" w:rsidR="00B468EB" w:rsidRDefault="00000000">
      <w:pPr>
        <w:spacing w:after="200" w:line="276" w:lineRule="auto"/>
        <w:jc w:val="both"/>
      </w:pPr>
      <w:r>
        <w:t>This paper has deliberately kept its focus on what a single program can do by itself, because that is where the untapped opportunity sits. But no board should read that focus as a judgment on the larger data efforts that surround every Tribal health program, because those efforts are substantial, they are led by skilled people, many of them Tribal citizens who have given careers to this work, and they accomplish things no clinic could accomplish alone. The Tribal Epidemiology Centers, established in federal law and vested with public health authority, conduct the regional surveillance, record-linkage, and misclassification-correction studies that fix the broken official statistics described at the start of this paper. The Area Indian health boards and their epidemiology programs carry Tribal data priorities into state and federal arenas. State immunization information systems, cancer registries, and syndromic surveillance networks maintain population-level pictures that a single clinic's records can never show. And national efforts, the IHS data systems, the GPRA quality measures, the CMS data match that quantifies Medicaid's role in Indian health, build the evidence on which the entire funding argument rests. This paper's message is a starting point within that ecosystem, not an alternative to it.</w:t>
      </w:r>
    </w:p>
    <w:p w14:paraId="6A343F06" w14:textId="77777777" w:rsidR="00B468EB" w:rsidRDefault="00000000">
      <w:pPr>
        <w:spacing w:after="200" w:line="276" w:lineRule="auto"/>
        <w:jc w:val="both"/>
      </w:pPr>
      <w:r>
        <w:t>What connects the ecosystem to your program is worth seeing clearly: nearly every one of these larger efforts runs on links to individual programs. Your registration file, your immunization entries, your claims, your mortality linkages are the raw material; the epidemiology center's regional study is your data and your neighbors' data, joined under agreements your governments approved. Two practical consequences follow. First, participation should flow through the same governance this paper has urged throughout: written agreements, Tribal approval of each use, de-</w:t>
      </w:r>
      <w:r>
        <w:lastRenderedPageBreak/>
        <w:t>identification standards, and a reciprocity test, good partnerships return information to the program, a queryable immunization registry, corrected mortality figures, a regional comparison your board can use, rather than only extracting data from it. Second, sequence matters. A program that has built its own information practice arrives at every partnership stronger: it knows what it holds, what it is sharing, what the data can and cannot say, and what it should ask for in return. The path in this paper does not compete with the larger efforts. It is how a program becomes a full partner in them.</w:t>
      </w:r>
    </w:p>
    <w:p w14:paraId="7162C1F6" w14:textId="77777777" w:rsidR="00B468EB" w:rsidRDefault="00000000">
      <w:pPr>
        <w:pStyle w:val="Heading1"/>
        <w:spacing w:before="320" w:after="160"/>
      </w:pPr>
      <w:r>
        <w:rPr>
          <w:b/>
          <w:bCs/>
          <w:color w:val="1F3864"/>
          <w:sz w:val="26"/>
          <w:szCs w:val="26"/>
        </w:rPr>
        <w:t>IX. What the Board Can Do This Quarter</w:t>
      </w:r>
    </w:p>
    <w:p w14:paraId="74B7F313" w14:textId="77777777" w:rsidR="00B468EB" w:rsidRDefault="00000000">
      <w:pPr>
        <w:spacing w:after="200" w:line="276" w:lineRule="auto"/>
        <w:jc w:val="both"/>
      </w:pPr>
      <w:r>
        <w:t>A health board or council that wishes to act on this paper can begin with five modest motions. First, direct the health program to produce a data asset inventory, one page per asset, naming what is held, in what system, and who has access. Second, adopt or update a Tribal health data governance policy stating the patient-and-provider access principle, the de-identification and small-cell rules for any group-level reporting, and the requirement of Tribal approval for any external use. Third, request one recurring report and hold a standing agenda item for it; field experience says the natural first choice is the weekly four-line Medicaid remittance chart described in Section VI, with the one-sentence routing motion that puts the remittance detail in the health program's hands, and the quarterly payer scorecard or PRC two-column summary as the natural second. Fourth, say publicly what the policy protects: that no council member and no administrator sees any citizen's chart, ever, and that community-level reporting is designed so that no family can be picked out of a table. Fifth, set a sunset on everything the first three motions create. Once a year, the board should review every standing report and affirm it or discontinue it, asking of each what decision it informed in the past twelve months and what would have been lost had it not existed. Reports accumulate the way subscriptions do, and a program carrying six recurring reports that answer no live question has converted its data asset into a chore. Discontinuing a report is not an admission that producing it was a mistake; it usually means the question it was built for has been settled. The first three motions build capability. The fourth builds the trust without which capability is worthless. The fifth keeps both aimed at decisions rather than at themselves.</w:t>
      </w:r>
    </w:p>
    <w:p w14:paraId="4FF511B8" w14:textId="77777777" w:rsidR="00B468EB" w:rsidRDefault="00000000">
      <w:pPr>
        <w:pStyle w:val="Heading1"/>
        <w:spacing w:before="320" w:after="160"/>
      </w:pPr>
      <w:r>
        <w:rPr>
          <w:b/>
          <w:bCs/>
          <w:color w:val="1F3864"/>
          <w:sz w:val="26"/>
          <w:szCs w:val="26"/>
        </w:rPr>
        <w:t>X. Conclusion: The Asset Was Already Built</w:t>
      </w:r>
    </w:p>
    <w:p w14:paraId="07B59664" w14:textId="77777777" w:rsidR="00B468EB" w:rsidRDefault="00000000">
      <w:pPr>
        <w:spacing w:after="200" w:line="276" w:lineRule="auto"/>
        <w:jc w:val="both"/>
      </w:pPr>
      <w:r>
        <w:t>The deficit story about Indian health data is true about the federal statistical system and false about your program. While the Census struggled and the death certificates erred, your registration desk, your billing office, your providers, and your PRC committee / staff were quietly building, visit by visit and claim by claim, one of the most complete records of a community's health care that exists anywhere in the country, held by the one government with the sovereign authority and the sacred obligation to use it well. The privacy of each patient's record is the foundation, not the obstacle: protect the chart absolutely, and the community's aggregate story can be told with confidence. Self-determination brought the clinics home. The same principle now applies to what the clinics have written down. The data is yours. The questions are yours. The transformation is a decision.</w:t>
      </w:r>
    </w:p>
    <w:p w14:paraId="5C5725EF" w14:textId="77777777" w:rsidR="00B468EB" w:rsidRDefault="00000000">
      <w:pPr>
        <w:pBdr>
          <w:top w:val="single" w:sz="4" w:space="8" w:color="999999"/>
        </w:pBdr>
        <w:spacing w:before="240" w:after="200"/>
      </w:pPr>
      <w:r>
        <w:rPr>
          <w:i/>
          <w:iCs/>
          <w:color w:val="555555"/>
          <w:sz w:val="18"/>
          <w:szCs w:val="18"/>
        </w:rPr>
        <w:lastRenderedPageBreak/>
        <w:t>About this paper: Prepared as a briefing for Tribal health directors, health boards, and Tribal councils. A companion set of graduate course readings in the Indian Health Financing Series treats the enumeration and denominator questions in scholarly depth. Nothing in this paper constitutes legal advice; Tribes should consult counsel in developing data governance codes and data sharing agreements.</w:t>
      </w:r>
    </w:p>
    <w:sectPr w:rsidR="00B468EB">
      <w:footerReference w:type="even"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1EC208" w14:textId="77777777" w:rsidR="0047420C" w:rsidRDefault="0047420C" w:rsidP="009C15B5">
      <w:r>
        <w:separator/>
      </w:r>
    </w:p>
  </w:endnote>
  <w:endnote w:type="continuationSeparator" w:id="0">
    <w:p w14:paraId="18FA294B" w14:textId="77777777" w:rsidR="0047420C" w:rsidRDefault="0047420C" w:rsidP="009C1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27879007"/>
      <w:docPartObj>
        <w:docPartGallery w:val="Page Numbers (Bottom of Page)"/>
        <w:docPartUnique/>
      </w:docPartObj>
    </w:sdtPr>
    <w:sdtContent>
      <w:p w14:paraId="4B696685" w14:textId="77777777" w:rsidR="009C15B5" w:rsidRDefault="009C15B5" w:rsidP="0068764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58EDBC8" w14:textId="77777777" w:rsidR="009C15B5" w:rsidRDefault="009C15B5" w:rsidP="009C15B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9129870"/>
      <w:docPartObj>
        <w:docPartGallery w:val="Page Numbers (Bottom of Page)"/>
        <w:docPartUnique/>
      </w:docPartObj>
    </w:sdtPr>
    <w:sdtContent>
      <w:p w14:paraId="2901B861" w14:textId="77777777" w:rsidR="009C15B5" w:rsidRDefault="009C15B5" w:rsidP="0068764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420B2619" w14:textId="77777777" w:rsidR="009C15B5" w:rsidRDefault="009C15B5" w:rsidP="009C15B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F7F316" w14:textId="77777777" w:rsidR="0047420C" w:rsidRDefault="0047420C" w:rsidP="009C15B5">
      <w:r>
        <w:separator/>
      </w:r>
    </w:p>
  </w:footnote>
  <w:footnote w:type="continuationSeparator" w:id="0">
    <w:p w14:paraId="58337762" w14:textId="77777777" w:rsidR="0047420C" w:rsidRDefault="0047420C" w:rsidP="009C15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09B6140"/>
    <w:multiLevelType w:val="hybridMultilevel"/>
    <w:tmpl w:val="2F8EE204"/>
    <w:lvl w:ilvl="0" w:tplc="37CAB8F8">
      <w:start w:val="1"/>
      <w:numFmt w:val="bullet"/>
      <w:lvlText w:val="●"/>
      <w:lvlJc w:val="left"/>
      <w:pPr>
        <w:ind w:left="720" w:hanging="360"/>
      </w:pPr>
    </w:lvl>
    <w:lvl w:ilvl="1" w:tplc="71C2BCF8">
      <w:start w:val="1"/>
      <w:numFmt w:val="bullet"/>
      <w:lvlText w:val="○"/>
      <w:lvlJc w:val="left"/>
      <w:pPr>
        <w:ind w:left="1440" w:hanging="360"/>
      </w:pPr>
    </w:lvl>
    <w:lvl w:ilvl="2" w:tplc="FB184BC2">
      <w:start w:val="1"/>
      <w:numFmt w:val="bullet"/>
      <w:lvlText w:val="■"/>
      <w:lvlJc w:val="left"/>
      <w:pPr>
        <w:ind w:left="2160" w:hanging="360"/>
      </w:pPr>
    </w:lvl>
    <w:lvl w:ilvl="3" w:tplc="BA0ACA0A">
      <w:start w:val="1"/>
      <w:numFmt w:val="bullet"/>
      <w:lvlText w:val="●"/>
      <w:lvlJc w:val="left"/>
      <w:pPr>
        <w:ind w:left="2880" w:hanging="360"/>
      </w:pPr>
    </w:lvl>
    <w:lvl w:ilvl="4" w:tplc="9C48DC9A">
      <w:start w:val="1"/>
      <w:numFmt w:val="bullet"/>
      <w:lvlText w:val="○"/>
      <w:lvlJc w:val="left"/>
      <w:pPr>
        <w:ind w:left="3600" w:hanging="360"/>
      </w:pPr>
    </w:lvl>
    <w:lvl w:ilvl="5" w:tplc="98E8A9AA">
      <w:start w:val="1"/>
      <w:numFmt w:val="bullet"/>
      <w:lvlText w:val="■"/>
      <w:lvlJc w:val="left"/>
      <w:pPr>
        <w:ind w:left="4320" w:hanging="360"/>
      </w:pPr>
    </w:lvl>
    <w:lvl w:ilvl="6" w:tplc="5C98A30E">
      <w:start w:val="1"/>
      <w:numFmt w:val="bullet"/>
      <w:lvlText w:val="●"/>
      <w:lvlJc w:val="left"/>
      <w:pPr>
        <w:ind w:left="5040" w:hanging="360"/>
      </w:pPr>
    </w:lvl>
    <w:lvl w:ilvl="7" w:tplc="DA92C496">
      <w:start w:val="1"/>
      <w:numFmt w:val="bullet"/>
      <w:lvlText w:val="●"/>
      <w:lvlJc w:val="left"/>
      <w:pPr>
        <w:ind w:left="5760" w:hanging="360"/>
      </w:pPr>
    </w:lvl>
    <w:lvl w:ilvl="8" w:tplc="30323468">
      <w:start w:val="1"/>
      <w:numFmt w:val="bullet"/>
      <w:lvlText w:val="●"/>
      <w:lvlJc w:val="left"/>
      <w:pPr>
        <w:ind w:left="6480" w:hanging="360"/>
      </w:pPr>
    </w:lvl>
  </w:abstractNum>
  <w:num w:numId="1" w16cid:durableId="136185491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8EB"/>
    <w:rsid w:val="00193C46"/>
    <w:rsid w:val="0047420C"/>
    <w:rsid w:val="006C4BF0"/>
    <w:rsid w:val="007C39D9"/>
    <w:rsid w:val="007F26B6"/>
    <w:rsid w:val="00861BBD"/>
    <w:rsid w:val="00926AC6"/>
    <w:rsid w:val="009C15B5"/>
    <w:rsid w:val="00B468EB"/>
    <w:rsid w:val="00BE7329"/>
    <w:rsid w:val="00D46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906B6"/>
  <w15:docId w15:val="{15F0170C-BE51-AC45-9758-265D422DE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Georgia" w:hAnsi="Georgia" w:cs="Georgi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9C15B5"/>
    <w:pPr>
      <w:tabs>
        <w:tab w:val="center" w:pos="4680"/>
        <w:tab w:val="right" w:pos="9360"/>
      </w:tabs>
    </w:pPr>
  </w:style>
  <w:style w:type="character" w:customStyle="1" w:styleId="FooterChar">
    <w:name w:val="Footer Char"/>
    <w:basedOn w:val="DefaultParagraphFont"/>
    <w:link w:val="Footer"/>
    <w:uiPriority w:val="99"/>
    <w:rsid w:val="009C15B5"/>
  </w:style>
  <w:style w:type="character" w:styleId="PageNumber">
    <w:name w:val="page number"/>
    <w:basedOn w:val="DefaultParagraphFont"/>
    <w:uiPriority w:val="99"/>
    <w:semiHidden/>
    <w:unhideWhenUsed/>
    <w:rsid w:val="009C1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4781</Words>
  <Characters>27255</Characters>
  <Application>Microsoft Office Word</Application>
  <DocSecurity>0</DocSecurity>
  <Lines>227</Lines>
  <Paragraphs>63</Paragraphs>
  <ScaleCrop>false</ScaleCrop>
  <Company/>
  <LinksUpToDate>false</LinksUpToDate>
  <CharactersWithSpaces>31973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Edward Fox</cp:lastModifiedBy>
  <cp:revision>2</cp:revision>
  <dcterms:created xsi:type="dcterms:W3CDTF">2026-08-25T13:53:00Z</dcterms:created>
  <dcterms:modified xsi:type="dcterms:W3CDTF">2026-08-25T13:53:00Z</dcterms:modified>
</cp:coreProperties>
</file>