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3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993" w:type="dxa"/>
      </w:tblPr>
      <w:tblGrid>
        <w:gridCol w:w="11916"/>
      </w:tblGrid>
      <w:tr>
        <w:trPr>
          <w:trHeight w:hRule="atLeast" w:val="15272"/>
        </w:trPr>
        <w:tc>
          <w:tcPr>
            <w:tcW w:type="dxa" w:w="11872"/>
            <w:tcBorders>
              <w:start w:sz="10.0" w:val="single" w:color="#747474"/>
              <w:top w:sz="10.0" w:val="single" w:color="#747474"/>
              <w:end w:sz="10.0" w:val="single" w:color="#747474"/>
              <w:bottom w:sz="10.0" w:val="single" w:color="#747474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1154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1A7A6E"/>
                <w:sz w:val="18"/>
              </w:rPr>
              <w:t>INDIAN HEALTH FINANCING SERIES</w:t>
            </w:r>
          </w:p>
          <w:p>
            <w:pPr>
              <w:autoSpaceDN w:val="0"/>
              <w:autoSpaceDE w:val="0"/>
              <w:widowControl/>
              <w:spacing w:line="220" w:lineRule="exact" w:before="60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8B6914"/>
                <w:sz w:val="18"/>
              </w:rPr>
              <w:t>Paper I-B  ·  Governance Foundations</w:t>
            </w:r>
          </w:p>
          <w:p>
            <w:pPr>
              <w:autoSpaceDN w:val="0"/>
              <w:autoSpaceDE w:val="0"/>
              <w:widowControl/>
              <w:spacing w:line="440" w:lineRule="exact" w:before="200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111111"/>
                <w:sz w:val="36"/>
              </w:rPr>
              <w:t>Reauthorization of the Indian Health Care Improvement Act</w:t>
            </w:r>
          </w:p>
          <w:p>
            <w:pPr>
              <w:autoSpaceDN w:val="0"/>
              <w:autoSpaceDE w:val="0"/>
              <w:widowControl/>
              <w:spacing w:line="318" w:lineRule="exact" w:before="80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 w:val="0"/>
                <w:i/>
                <w:color w:val="333333"/>
                <w:sz w:val="26"/>
              </w:rPr>
              <w:t>The Critical Year 1999–2000: A Case Study in Tribal-Federal Collaborative Policymaking</w:t>
            </w:r>
          </w:p>
          <w:p>
            <w:pPr>
              <w:autoSpaceDN w:val="0"/>
              <w:autoSpaceDE w:val="0"/>
              <w:widowControl/>
              <w:spacing w:line="268" w:lineRule="exact" w:before="348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000000"/>
                <w:sz w:val="22"/>
              </w:rPr>
              <w:t>Edward J. Fox, PhD</w:t>
            </w:r>
          </w:p>
          <w:p>
            <w:pPr>
              <w:autoSpaceDN w:val="0"/>
              <w:autoSpaceDE w:val="0"/>
              <w:widowControl/>
              <w:spacing w:line="268" w:lineRule="exact" w:before="42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555555"/>
                <w:sz w:val="22"/>
              </w:rPr>
              <w:t>Former Member, CMS Tribal Technical Advisory Group (TTAG), 2003–2021</w:t>
            </w:r>
          </w:p>
          <w:p>
            <w:pPr>
              <w:autoSpaceDN w:val="0"/>
              <w:autoSpaceDE w:val="0"/>
              <w:widowControl/>
              <w:spacing w:line="268" w:lineRule="exact" w:before="40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555555"/>
                <w:sz w:val="22"/>
              </w:rPr>
              <w:t>Northwest Portland Area Indian Health Board  ·  April 2026</w:t>
            </w:r>
          </w:p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27479" cy="17818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479" cy="17818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utoSpaceDN w:val="0"/>
              <w:autoSpaceDE w:val="0"/>
              <w:widowControl/>
              <w:spacing w:line="194" w:lineRule="exact" w:before="40" w:after="526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/>
                <w:color w:val="666666"/>
                <w:sz w:val="16"/>
              </w:rPr>
              <w:t>Carved mask, gift to the author from the Port Gamble S’Klallam Tribe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240.0" w:type="dxa"/>
            </w:tblPr>
            <w:tblGrid>
              <w:gridCol w:w="11872"/>
            </w:tblGrid>
            <w:tr>
              <w:trPr>
                <w:trHeight w:hRule="atLeast" w:val="2456"/>
              </w:trPr>
              <w:tc>
                <w:tcPr>
                  <w:tcW w:type="dxa" w:w="9368"/>
                  <w:tcBorders>
                    <w:top w:sz="4.0" w:val="single" w:color="#1A7A6E"/>
                  </w:tcBorders>
                  <w:shd w:fill="e8f4f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164" w:lineRule="exact" w:before="0" w:after="0"/>
                    <w:ind w:left="0" w:right="0"/>
                  </w:pP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4.000000000000057" w:type="dxa"/>
                  </w:tblPr>
                  <w:tblGrid>
                    <w:gridCol w:w="9368"/>
                  </w:tblGrid>
                  <w:tr>
                    <w:trPr>
                      <w:trHeight w:hRule="atLeast" w:val="272"/>
                    </w:trPr>
                    <w:tc>
                      <w:tcPr>
                        <w:tcW w:type="dxa" w:w="9362"/>
                        <w:tcBorders>
                          <w:start w:sz="2.0" w:val="single" w:color="#1A7A6E"/>
                          <w:top w:sz="2.0" w:val="single" w:color="#1A7A6E"/>
                          <w:end w:sz="2.0" w:val="single" w:color="#1A7A6E"/>
                          <w:bottom w:sz="2.0" w:val="single" w:color="#1A7A6E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68" w:lineRule="exact" w:before="0" w:after="0"/>
                          <w:ind w:left="0" w:right="0" w:firstLine="0"/>
                          <w:jc w:val="left"/>
                        </w:pPr>
                        <w:r>
                          <w:rPr>
                            <w:rFonts w:ascii="Carlito" w:hAnsi="Carlito" w:eastAsia="Carlito"/>
                            <w:b/>
                            <w:i w:val="0"/>
                            <w:color w:val="1A7A6E"/>
                            <w:sz w:val="22"/>
                          </w:rPr>
                          <w:t>Note on Series Placement</w:t>
                        </w:r>
                      </w:p>
                    </w:tc>
                  </w:tr>
                </w:tbl>
                <w:p>
                  <w:pPr>
                    <w:autoSpaceDN w:val="0"/>
                    <w:autoSpaceDE w:val="0"/>
                    <w:widowControl/>
                    <w:spacing w:line="118" w:lineRule="exact" w:before="0" w:after="0"/>
                    <w:ind w:left="0" w:right="0"/>
                  </w:pP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4.000000000000057" w:type="dxa"/>
                  </w:tblPr>
                  <w:tblGrid>
                    <w:gridCol w:w="9368"/>
                  </w:tblGrid>
                  <w:tr>
                    <w:trPr>
                      <w:trHeight w:hRule="atLeast" w:val="1868"/>
                    </w:trPr>
                    <w:tc>
                      <w:tcPr>
                        <w:tcW w:type="dxa" w:w="9362"/>
                        <w:tcBorders>
                          <w:start w:sz="2.0" w:val="single" w:color="#1A7A6E"/>
                          <w:end w:sz="2.0" w:val="single" w:color="#1A7A6E"/>
                          <w:bottom w:sz="2.0" w:val="single" w:color="#1A7A6E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68" w:lineRule="exact" w:before="2" w:after="0"/>
                          <w:ind w:left="0" w:right="0" w:firstLine="0"/>
                          <w:jc w:val="left"/>
                        </w:pPr>
                        <w:r>
                          <w:rPr>
                            <w:rFonts w:ascii="Carlito" w:hAnsi="Carlito" w:eastAsia="Carlito"/>
                            <w:b w:val="0"/>
                            <w:i w:val="0"/>
                            <w:color w:val="333333"/>
                            <w:sz w:val="22"/>
                          </w:rPr>
                          <w:t xml:space="preserve">This paper appears between Paper I (How We Count Matters) and Paper II (A History of CMS–IHS Tribal </w:t>
                        </w:r>
                        <w:r>
                          <w:rPr>
                            <w:rFonts w:ascii="Carlito" w:hAnsi="Carlito" w:eastAsia="Carlito"/>
                            <w:b w:val="0"/>
                            <w:i w:val="0"/>
                            <w:color w:val="333333"/>
                            <w:sz w:val="22"/>
                          </w:rPr>
                          <w:t xml:space="preserve">Data Improvement) because it addresses the governance event that made those subsequent analyses </w:t>
                        </w:r>
                        <w:r>
                          <w:rPr>
                            <w:rFonts w:ascii="Carlito" w:hAnsi="Carlito" w:eastAsia="Carlito"/>
                            <w:b w:val="0"/>
                            <w:i w:val="0"/>
                            <w:color w:val="333333"/>
                            <w:sz w:val="22"/>
                          </w:rPr>
                          <w:t xml:space="preserve">possible. The statutory architecture the series analyzes—particularly IHCIA Title V governing Urban </w:t>
                        </w:r>
                        <w:r>
                          <w:rPr>
                            <w:rFonts w:ascii="Carlito" w:hAnsi="Carlito" w:eastAsia="Carlito"/>
                            <w:b w:val="0"/>
                            <w:i w:val="0"/>
                            <w:color w:val="333333"/>
                            <w:sz w:val="22"/>
                          </w:rPr>
                          <w:t xml:space="preserve">Indian Organizations, the expanded P.L. 93-638 self-governance compact authority, and the federal </w:t>
                        </w:r>
                        <w:r>
                          <w:rPr>
                            <w:rFonts w:ascii="Carlito" w:hAnsi="Carlito" w:eastAsia="Carlito"/>
                            <w:b w:val="0"/>
                            <w:i w:val="0"/>
                            <w:color w:val="333333"/>
                            <w:sz w:val="22"/>
                          </w:rPr>
                          <w:t xml:space="preserve">consultation framework—was itself the product of a structured, Tribally-driven legislative process. </w:t>
                        </w:r>
                        <w:r>
                          <w:rPr>
                            <w:rFonts w:ascii="Carlito" w:hAnsi="Carlito" w:eastAsia="Carlito"/>
                            <w:b w:val="0"/>
                            <w:i w:val="0"/>
                            <w:color w:val="333333"/>
                            <w:sz w:val="22"/>
                          </w:rPr>
                          <w:t xml:space="preserve">Understanding how that framework was built is essential context for understanding how it functions. </w:t>
                        </w:r>
                      </w:p>
                      <w:p>
                        <w:pPr>
                          <w:autoSpaceDN w:val="0"/>
                          <w:autoSpaceDE w:val="0"/>
                          <w:widowControl/>
                          <w:spacing w:line="268" w:lineRule="exact" w:before="2" w:after="0"/>
                          <w:ind w:left="0" w:right="0" w:firstLine="0"/>
                          <w:jc w:val="left"/>
                        </w:pPr>
                        <w:r>
                          <w:rPr>
                            <w:rFonts w:ascii="Carlito" w:hAnsi="Carlito" w:eastAsia="Carlito"/>
                            <w:b w:val="0"/>
                            <w:i w:val="0"/>
                            <w:color w:val="333333"/>
                            <w:sz w:val="22"/>
                          </w:rPr>
                          <w:t>Paper I-B documents that process. Paper II then examines the data infrastructure it enabled.</w:t>
                        </w:r>
                      </w:p>
                    </w:tc>
                  </w:tr>
                </w:tbl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>
            <w:pPr>
              <w:autoSpaceDN w:val="0"/>
              <w:autoSpaceDE w:val="0"/>
              <w:widowControl/>
              <w:spacing w:line="294" w:lineRule="exact" w:before="662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1A7A6E"/>
                <w:sz w:val="24"/>
              </w:rPr>
              <w:t>Abstract</w:t>
            </w:r>
          </w:p>
          <w:p>
            <w:pPr>
              <w:autoSpaceDN w:val="0"/>
              <w:autoSpaceDE w:val="0"/>
              <w:widowControl/>
              <w:spacing w:line="268" w:lineRule="exact" w:before="210" w:after="0"/>
              <w:ind w:left="1246" w:right="1190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This paper examines the 1999–2000 consultation and drafting process that produced a consensus Tribal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proposal for reauthorizing the Indian Health Care Improvement Act (IHCIA). Initiated by the Indian Health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Service under Director Dr. Michael Trujillo, the process established a National Steering Committee (NSC)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that coordinated extensive Tribal consultation through regional health boards, particularly the Northwest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Portland Area Indian Health Board. The collaborative drafting involved Tribal attorneys working under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Tribal leadership guidance, with technical support from legal experts and policy advisors. While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congressional passage was delayed until 2010—when the IHCIA was permanently reauthorized through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incorporation into the Patient Protection and Affordable Care Act—the process represents a significant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model of structured Tribal-federal consultation and demonstrates the capacity of indigenous nations to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collectively develop sophisticated federal legislative proposals. The statutory provisions produced through </w:t>
            </w:r>
          </w:p>
          <w:p>
            <w:pPr>
              <w:autoSpaceDN w:val="0"/>
              <w:autoSpaceDE w:val="0"/>
              <w:widowControl/>
              <w:spacing w:line="272" w:lineRule="exact" w:before="548" w:after="0"/>
              <w:ind w:left="0" w:right="0" w:firstLine="0"/>
              <w:jc w:val="center"/>
            </w:pPr>
            <w:r>
              <w:rPr>
                <w:rFonts w:ascii="Noto Sans" w:hAnsi="Noto Sans" w:eastAsia="Noto Sans"/>
                <w:b w:val="0"/>
                <w:i w:val="0"/>
                <w:color w:val="156082"/>
                <w:sz w:val="20"/>
              </w:rPr>
              <w:t>pg. 1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132" w:right="152" w:bottom="130" w:left="17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3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993" w:type="dxa"/>
      </w:tblPr>
      <w:tblGrid>
        <w:gridCol w:w="11916"/>
      </w:tblGrid>
      <w:tr>
        <w:trPr>
          <w:trHeight w:hRule="atLeast" w:val="15272"/>
        </w:trPr>
        <w:tc>
          <w:tcPr>
            <w:tcW w:type="dxa" w:w="11872"/>
            <w:tcBorders>
              <w:start w:sz="10.0" w:val="single" w:color="#747474"/>
              <w:top w:sz="10.0" w:val="single" w:color="#747474"/>
              <w:end w:sz="10.0" w:val="single" w:color="#747474"/>
              <w:bottom w:sz="10.0" w:val="single" w:color="#747474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1152" w:after="0"/>
              <w:ind w:left="1246" w:right="1190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this process constitute foundational architecture for the financing mechanisms and program structures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analyzed throughout the Indian Health Financing Series.  Importantly, it built relationships between the 12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Areas of IHS that later translated into policy input and success at both the federal and state level for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Medicaid and the Affordable Care Act.</w:t>
            </w:r>
          </w:p>
          <w:p>
            <w:pPr>
              <w:autoSpaceDN w:val="0"/>
              <w:autoSpaceDE w:val="0"/>
              <w:widowControl/>
              <w:spacing w:line="294" w:lineRule="exact" w:before="320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1A7A6E"/>
                <w:sz w:val="24"/>
              </w:rPr>
              <w:t>Introduction</w:t>
            </w:r>
          </w:p>
          <w:p>
            <w:pPr>
              <w:autoSpaceDN w:val="0"/>
              <w:autoSpaceDE w:val="0"/>
              <w:widowControl/>
              <w:spacing w:line="270" w:lineRule="exact" w:before="210" w:after="0"/>
              <w:ind w:left="1246" w:right="1192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Indian Health Care Improvement Act, originally enacted in 1976, represented a landmark federal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commitment to addressing health disparities in American Indian and Alaska Native communities. By the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late 1990s, evolving health care delivery systems, advances in Tribal self-determination, and emerging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public health challenges necessitated comprehensive reauthorization (National Steering Committee,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1999). In 1999, the Indian Health Service (IHS), under the leadership of Director Dr. Michael Trujillo,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initiated a federally funded consultation and drafting process designed to produce consensus Tribal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legislative language for congressional consideration.</w:t>
            </w:r>
          </w:p>
          <w:p>
            <w:pPr>
              <w:autoSpaceDN w:val="0"/>
              <w:autoSpaceDE w:val="0"/>
              <w:widowControl/>
              <w:spacing w:line="270" w:lineRule="exact" w:before="78" w:after="0"/>
              <w:ind w:left="1246" w:right="1192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This paper analyzes the organizational structure, consultation methodology, and collaborative drafting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process that characterized the 1999–2000 IHCIA reauthorization effort. Particular attention is paid to the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roles of regional Tribal health boards, the National Steering Committee, and the legal and policy experts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who facilitated the translation of Tribal priorities into legislative text.</w:t>
            </w:r>
          </w:p>
          <w:p>
            <w:pPr>
              <w:autoSpaceDN w:val="0"/>
              <w:autoSpaceDE w:val="0"/>
              <w:widowControl/>
              <w:spacing w:line="270" w:lineRule="exact" w:before="158" w:after="0"/>
              <w:ind w:left="1966" w:right="1872" w:firstLine="0"/>
              <w:jc w:val="left"/>
            </w:pPr>
            <w:r>
              <w:rPr>
                <w:rFonts w:ascii="Carlito" w:hAnsi="Carlito" w:eastAsia="Carlito"/>
                <w:b w:val="0"/>
                <w:i/>
                <w:color w:val="333333"/>
                <w:sz w:val="22"/>
              </w:rPr>
              <w:t xml:space="preserve">The governance process documented here produced the statutory authority that the </w:t>
            </w:r>
            <w:r>
              <w:rPr>
                <w:rFonts w:ascii="Carlito" w:hAnsi="Carlito" w:eastAsia="Carlito"/>
                <w:b w:val="0"/>
                <w:i/>
                <w:color w:val="333333"/>
                <w:sz w:val="22"/>
              </w:rPr>
              <w:t xml:space="preserve">Indian Health financing system continues to operate under today—including the Title V </w:t>
            </w:r>
            <w:r>
              <w:rPr>
                <w:rFonts w:ascii="Carlito" w:hAnsi="Carlito" w:eastAsia="Carlito"/>
                <w:b w:val="0"/>
                <w:i/>
                <w:color w:val="333333"/>
                <w:sz w:val="22"/>
              </w:rPr>
              <w:t xml:space="preserve">Urban Indian program and the expanded 638 compact framework that are central to the </w:t>
            </w:r>
            <w:r>
              <w:rPr>
                <w:rFonts w:ascii="Carlito" w:hAnsi="Carlito" w:eastAsia="Carlito"/>
                <w:b w:val="0"/>
                <w:i/>
                <w:color w:val="333333"/>
                <w:sz w:val="22"/>
              </w:rPr>
              <w:t>analytical work in this series.</w:t>
            </w:r>
          </w:p>
          <w:p>
            <w:pPr>
              <w:autoSpaceDN w:val="0"/>
              <w:autoSpaceDE w:val="0"/>
              <w:widowControl/>
              <w:spacing w:line="294" w:lineRule="exact" w:before="320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1A7A6E"/>
                <w:sz w:val="24"/>
              </w:rPr>
              <w:t>Organizational Framework and Federal Leadership</w:t>
            </w:r>
          </w:p>
          <w:p>
            <w:pPr>
              <w:autoSpaceDN w:val="0"/>
              <w:autoSpaceDE w:val="0"/>
              <w:widowControl/>
              <w:spacing w:line="268" w:lineRule="exact" w:before="210" w:after="0"/>
              <w:ind w:left="1246" w:right="1192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IHS established the National Steering Committee (NSC) as the central coordinating body for the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reauthorization effort. Senior IHS officials, including Director Trujillo and Mike Mahsetky and Kitty Marx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(who later joined CMS), along with NIHB leadership including Julia Davis, provided administrative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oversight and ensured alignment between Tribal recommendations and federal legislative requirements.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NSC was charged with gathering input from Tribes and regional boards, synthesizing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recommendations into coherent policy proposals, and drafting legislative language suitable for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congressional submission.</w:t>
            </w:r>
          </w:p>
          <w:p>
            <w:pPr>
              <w:autoSpaceDN w:val="0"/>
              <w:autoSpaceDE w:val="0"/>
              <w:widowControl/>
              <w:spacing w:line="270" w:lineRule="exact" w:before="78" w:after="0"/>
              <w:ind w:left="1246" w:right="1192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consultation framework recognized the fundamental principle of Tribal sovereignty by establishing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mechanisms for direct Tribal participation in legislative development rather than imposing top-down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federal proposals. This approach reflected the maturation of Tribal self-determination policy and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acknowledged Tribal nations as governmental entities with inherent authority over their citizens’ health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and welfare (U.S. Senate Committee on Indian Affairs, 2003).</w:t>
            </w:r>
          </w:p>
          <w:p>
            <w:pPr>
              <w:autoSpaceDN w:val="0"/>
              <w:autoSpaceDE w:val="0"/>
              <w:widowControl/>
              <w:spacing w:line="292" w:lineRule="exact" w:before="322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1A7A6E"/>
                <w:sz w:val="24"/>
              </w:rPr>
              <w:t>Regional Consultation and the Role of Tribal Health Boards</w:t>
            </w:r>
          </w:p>
          <w:p>
            <w:pPr>
              <w:autoSpaceDN w:val="0"/>
              <w:autoSpaceDE w:val="0"/>
              <w:widowControl/>
              <w:spacing w:line="270" w:lineRule="exact" w:before="208" w:after="0"/>
              <w:ind w:left="1246" w:right="1190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Tribal outreach was conducted primarily through contracts with regional Tribal health boards, with the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Northwest Portland Area Indian Health Board (NPAIHB) serving as the principal coordination mechanism.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NPAIHB organized consultation meetings across multiple states in the Pacific Northwest, engaging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Tribal leadership and technical staff to contribute substantive policy recommendations on health care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delivery, facility construction, health professions training, and behavioral health services. A pivotal all-</w:t>
            </w:r>
          </w:p>
          <w:p>
            <w:pPr>
              <w:autoSpaceDN w:val="0"/>
              <w:autoSpaceDE w:val="0"/>
              <w:widowControl/>
              <w:spacing w:line="272" w:lineRule="exact" w:before="936" w:after="0"/>
              <w:ind w:left="0" w:right="0" w:firstLine="0"/>
              <w:jc w:val="center"/>
            </w:pPr>
            <w:r>
              <w:rPr>
                <w:rFonts w:ascii="Noto Sans" w:hAnsi="Noto Sans" w:eastAsia="Noto Sans"/>
                <w:b w:val="0"/>
                <w:i w:val="0"/>
                <w:color w:val="156082"/>
                <w:sz w:val="20"/>
              </w:rPr>
              <w:t>pg. 2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132" w:right="152" w:bottom="130" w:left="17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3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993" w:type="dxa"/>
      </w:tblPr>
      <w:tblGrid>
        <w:gridCol w:w="11916"/>
      </w:tblGrid>
      <w:tr>
        <w:trPr>
          <w:trHeight w:hRule="atLeast" w:val="15272"/>
        </w:trPr>
        <w:tc>
          <w:tcPr>
            <w:tcW w:type="dxa" w:w="11872"/>
            <w:tcBorders>
              <w:start w:sz="10.0" w:val="single" w:color="#747474"/>
              <w:top w:sz="10.0" w:val="single" w:color="#747474"/>
              <w:end w:sz="10.0" w:val="single" w:color="#747474"/>
              <w:bottom w:sz="10.0" w:val="single" w:color="#747474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1152" w:after="0"/>
              <w:ind w:left="1246" w:right="115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areas meeting was hosted by NPAIHB in Portland, Oregon, in 1999, bringing together representatives from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all IHS Areas (Northwest Portland Area Indian Health Board, 1999–2000).</w:t>
            </w:r>
          </w:p>
          <w:p>
            <w:pPr>
              <w:autoSpaceDN w:val="0"/>
              <w:autoSpaceDE w:val="0"/>
              <w:widowControl/>
              <w:spacing w:line="270" w:lineRule="exact" w:before="78" w:after="0"/>
              <w:ind w:left="1246" w:right="1192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Julia Davis, serving simultaneously as NPAIHB chair and chair of the National Indian Health Board (NIHB),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provided strategic guidance that ensured both regional specificity and national coordination. Her dual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leadership position facilitated the integration of geographically diverse Tribal perspectives into a unified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legislative framework (Northwest Portland Area Indian Health Board, 1999–2000).</w:t>
            </w:r>
          </w:p>
          <w:p>
            <w:pPr>
              <w:autoSpaceDN w:val="0"/>
              <w:autoSpaceDE w:val="0"/>
              <w:widowControl/>
              <w:spacing w:line="270" w:lineRule="exact" w:before="80" w:after="0"/>
              <w:ind w:left="1246" w:right="1190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Alaska Native Health Board (ANHB) played an equally central role in shaping the draft legislation,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particularly regarding provisions specific to Alaska Native communities. Myra M. Munson, an attorney and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former Alaska Commissioner of Health and Social Services, served as technical advisor to the NSC on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behalf of ANHB. Munson assisted in drafting and editing substantial sections of the legislative text,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ensuring that Alaska Tribal priorities—including community-based health programs, sanitation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infrastructure, and compacting authority under the Indian Self-Determination and Education Assistance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Act—were fully incorporated (Alaska Native Health Board, 1999–2000).</w:t>
            </w:r>
          </w:p>
          <w:p>
            <w:pPr>
              <w:autoSpaceDN w:val="0"/>
              <w:autoSpaceDE w:val="0"/>
              <w:widowControl/>
              <w:spacing w:line="292" w:lineRule="exact" w:before="322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1A7A6E"/>
                <w:sz w:val="24"/>
              </w:rPr>
              <w:t>Facilitation and Technical Support</w:t>
            </w:r>
          </w:p>
          <w:p>
            <w:pPr>
              <w:autoSpaceDN w:val="0"/>
              <w:autoSpaceDE w:val="0"/>
              <w:widowControl/>
              <w:spacing w:line="270" w:lineRule="exact" w:before="208" w:after="0"/>
              <w:ind w:left="1246" w:right="1190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consultation process was facilitated by Kauffman &amp; Associates, Inc., led by Jo Ann Kauffman through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an IHS contract. The firm organized meetings, documented discussions, and provided logistical support for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collaborative process. The legislative text itself, however, was drafted collaboratively by attorneys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provided by Tribes, working under the guidance of Tribal leaders and their authorized representatives.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This distinction is crucial for understanding the authorship and authority of the resulting draft legislation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as a genuinely Tribal product rather than a consultant-generated document.</w:t>
            </w:r>
          </w:p>
          <w:p>
            <w:pPr>
              <w:autoSpaceDN w:val="0"/>
              <w:autoSpaceDE w:val="0"/>
              <w:widowControl/>
              <w:spacing w:line="268" w:lineRule="exact" w:before="80" w:after="0"/>
              <w:ind w:left="1246" w:right="1190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Dr. Edward Fox, PhD, of the Northwest Portland Area Indian Health Board contributed policy and technical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expertise, in part funded by IHS, particularly in integrating public health data and Tribal public health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priorities into legislative language. This work drew on the analytical tradition—connecting survey-era data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to administrative records—that would later characterize the empirical work in this series (Northwest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Portland Area Indian Health Board, 1999–2000).</w:t>
            </w:r>
          </w:p>
          <w:p>
            <w:pPr>
              <w:autoSpaceDN w:val="0"/>
              <w:autoSpaceDE w:val="0"/>
              <w:widowControl/>
              <w:spacing w:line="292" w:lineRule="exact" w:before="322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1A7A6E"/>
                <w:sz w:val="24"/>
              </w:rPr>
              <w:t>Legal Expertise and Statutory Drafting</w:t>
            </w:r>
          </w:p>
          <w:p>
            <w:pPr>
              <w:autoSpaceDN w:val="0"/>
              <w:autoSpaceDE w:val="0"/>
              <w:widowControl/>
              <w:spacing w:line="270" w:lineRule="exact" w:before="208" w:after="0"/>
              <w:ind w:left="1246" w:right="1190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complexity of federal Indian law and health care legislation required specialized legal expertise.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Multiple individual Tribes dedicated staff attorney time to the drafting process, and several prominent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legal firms contributed technical guidance. Hobbs, Straus, Dean &amp; Walker, LLP, a firm with extensive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experience in federal Indian law, provided expert analysis through attorneys Geoffrey Strommer and Carol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Barbero, who offered detailed review of statutory language contributing to the legal precision and clarity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of the draft legislation (U.S. Senate Committee on Indian Affairs, 2003).</w:t>
            </w:r>
          </w:p>
          <w:p>
            <w:pPr>
              <w:autoSpaceDN w:val="0"/>
              <w:autoSpaceDE w:val="0"/>
              <w:widowControl/>
              <w:spacing w:line="268" w:lineRule="exact" w:before="80" w:after="0"/>
              <w:ind w:left="1246" w:right="1190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Myra Munson of Sonosky, Chambers (now Sonosky, Chambers, Sachse, Miller and Munson) contributed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specifically for the Alaska Area and also served as principal bill drafter and keeper of successive legislative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versions throughout the entire drafting history from 1999 through final passage in 2010.</w:t>
            </w:r>
          </w:p>
          <w:p>
            <w:pPr>
              <w:autoSpaceDN w:val="0"/>
              <w:autoSpaceDE w:val="0"/>
              <w:widowControl/>
              <w:spacing w:line="268" w:lineRule="exact" w:before="82" w:after="0"/>
              <w:ind w:left="1246" w:right="1192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collaborative legal drafting process demonstrates the sophisticated legal capacity that Tribal nations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and their representatives brought to federal legislative development. The involvement of multiple legal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practitioners ensured that the draft legislation addressed technical statutory requirements while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advancing substantive Tribal policy objectives.</w:t>
            </w:r>
          </w:p>
          <w:p>
            <w:pPr>
              <w:autoSpaceDN w:val="0"/>
              <w:autoSpaceDE w:val="0"/>
              <w:widowControl/>
              <w:spacing w:line="292" w:lineRule="exact" w:before="322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1A7A6E"/>
                <w:sz w:val="24"/>
              </w:rPr>
              <w:t>Outcomes and Significance</w:t>
            </w:r>
          </w:p>
          <w:p>
            <w:pPr>
              <w:autoSpaceDN w:val="0"/>
              <w:autoSpaceDE w:val="0"/>
              <w:widowControl/>
              <w:spacing w:line="272" w:lineRule="exact" w:before="796" w:after="0"/>
              <w:ind w:left="0" w:right="0" w:firstLine="0"/>
              <w:jc w:val="center"/>
            </w:pPr>
            <w:r>
              <w:rPr>
                <w:rFonts w:ascii="Noto Sans" w:hAnsi="Noto Sans" w:eastAsia="Noto Sans"/>
                <w:b w:val="0"/>
                <w:i w:val="0"/>
                <w:color w:val="156082"/>
                <w:sz w:val="20"/>
              </w:rPr>
              <w:t>pg. 3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132" w:right="152" w:bottom="130" w:left="17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3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993" w:type="dxa"/>
      </w:tblPr>
      <w:tblGrid>
        <w:gridCol w:w="11916"/>
      </w:tblGrid>
      <w:tr>
        <w:trPr>
          <w:trHeight w:hRule="atLeast" w:val="15272"/>
        </w:trPr>
        <w:tc>
          <w:tcPr>
            <w:tcW w:type="dxa" w:w="11872"/>
            <w:tcBorders>
              <w:start w:sz="10.0" w:val="single" w:color="#747474"/>
              <w:top w:sz="10.0" w:val="single" w:color="#747474"/>
              <w:end w:sz="10.0" w:val="single" w:color="#747474"/>
              <w:bottom w:sz="10.0" w:val="single" w:color="#747474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1154" w:after="0"/>
              <w:ind w:left="1246" w:right="1192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NSC process produced a comprehensive draft consensus reauthorization of the IHCIA in 1999–2000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that incorporated broad Tribal input, regional and national perspectives, and expert legal and policy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guidance. Although political circumstances delayed congressional passage for a decade, the permanent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reauthorization of the IHCIA was ultimately achieved in 2010 through incorporation into the Patient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Protection and Affordable Care Act.</w:t>
            </w:r>
          </w:p>
          <w:p>
            <w:pPr>
              <w:autoSpaceDN w:val="0"/>
              <w:autoSpaceDE w:val="0"/>
              <w:widowControl/>
              <w:spacing w:line="268" w:lineRule="exact" w:before="82" w:after="0"/>
              <w:ind w:left="1246" w:right="1192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statutory provisions enacted in 2010 include those most consequential for the financing framework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this series analyzes: the Title V authorizations governing Urban Indian Organizations (UIOs) analyzed in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Papers VI and VII; the self-governance compact provisions under P.L. 93-638 that determine how Tribal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health programs access the 100% Federal Medical Assistance Percentage (FMAP) mechanism analyzed in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Paper III; and the data and reporting requirements that created regulatory conditions favorable to the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CMS–IHS data linkage effort documented in Paper II.</w:t>
            </w:r>
          </w:p>
          <w:p>
            <w:pPr>
              <w:autoSpaceDN w:val="0"/>
              <w:autoSpaceDE w:val="0"/>
              <w:widowControl/>
              <w:spacing w:line="268" w:lineRule="exact" w:before="82" w:after="0"/>
              <w:ind w:left="1246" w:right="1192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1999–2000 drafting process established an important precedent for Tribal-federal collaboration in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legislative development. It demonstrated that structured consultation mechanisms, when adequately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resourced and organized through trusted Tribal intermediary organizations, can produce sophisticated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legislative proposals reflecting genuine Tribal consensus. The process also highlighted the critical role of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regional Tribal health boards as institutions capable of coordinating complex multi-Tribal policy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development.</w:t>
            </w:r>
          </w:p>
          <w:p>
            <w:pPr>
              <w:autoSpaceDN w:val="0"/>
              <w:autoSpaceDE w:val="0"/>
              <w:widowControl/>
              <w:spacing w:line="292" w:lineRule="exact" w:before="322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1A7A6E"/>
                <w:sz w:val="24"/>
              </w:rPr>
              <w:t>Conclusion</w:t>
            </w:r>
          </w:p>
          <w:p>
            <w:pPr>
              <w:autoSpaceDN w:val="0"/>
              <w:autoSpaceDE w:val="0"/>
              <w:widowControl/>
              <w:spacing w:line="270" w:lineRule="exact" w:before="208" w:after="0"/>
              <w:ind w:left="1246" w:right="1190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1999–2000 IHCIA reauthorization process represents a significant case study in collaborative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governance within the unique political and legal relationship between the United States and federally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recognized Tribal nations. The organizational structure—combining IHS administrative support, regional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Tribal health board coordination, expert facilitation, and collaborative legal drafting—created an effective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mechanism for translating diverse Tribal priorities into unified legislative language. The efforts of NPAIHB,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ANHB, NIHB leadership, and key legal and policy advisors including Julia Davis, Dr. Edward Fox, Myra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Munson, Geoffrey Strommer, and Carol Barbero laid essential groundwork for the eventual permanent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reauthorization of the IHCIA in 2010.</w:t>
            </w:r>
          </w:p>
          <w:p>
            <w:pPr>
              <w:autoSpaceDN w:val="0"/>
              <w:autoSpaceDE w:val="0"/>
              <w:widowControl/>
              <w:spacing w:line="270" w:lineRule="exact" w:before="80" w:after="0"/>
              <w:ind w:left="1246" w:right="1192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The statutory framework produced by this process—particularly IHCIA Title V and the expanded 638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compact authority—created the programmatic conditions under which the CMS–IHS data linkage effort,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described in the following paper, became both necessary and possible. The legislative architecture built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 xml:space="preserve">through a decade of Tribal-led drafting now underpins the financing mechanisms, program structures, and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22"/>
              </w:rPr>
              <w:t>data systems that constitute the analytical subject matter of the Indian Health Financing Series.</w:t>
            </w:r>
          </w:p>
          <w:p>
            <w:pPr>
              <w:autoSpaceDN w:val="0"/>
              <w:autoSpaceDE w:val="0"/>
              <w:widowControl/>
              <w:spacing w:line="292" w:lineRule="exact" w:before="322" w:after="0"/>
              <w:ind w:left="1246" w:right="0" w:firstLine="0"/>
              <w:jc w:val="left"/>
            </w:pPr>
            <w:r>
              <w:rPr>
                <w:rFonts w:ascii="Carlito" w:hAnsi="Carlito" w:eastAsia="Carlito"/>
                <w:b/>
                <w:i w:val="0"/>
                <w:color w:val="1A7A6E"/>
                <w:sz w:val="24"/>
              </w:rPr>
              <w:t>References</w:t>
            </w:r>
          </w:p>
          <w:p>
            <w:pPr>
              <w:autoSpaceDN w:val="0"/>
              <w:tabs>
                <w:tab w:pos="1966" w:val="left"/>
              </w:tabs>
              <w:autoSpaceDE w:val="0"/>
              <w:widowControl/>
              <w:spacing w:line="220" w:lineRule="exact" w:before="210" w:after="0"/>
              <w:ind w:left="1246" w:right="158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444444"/>
                <w:sz w:val="18"/>
              </w:rPr>
              <w:t xml:space="preserve">Alaska Native Health Board. (1999–2000). Records and reports on National Steering Committee participation [Unpublished </w:t>
            </w:r>
            <w:r>
              <w:tab/>
            </w:r>
            <w:r>
              <w:rPr>
                <w:rFonts w:ascii="Carlito" w:hAnsi="Carlito" w:eastAsia="Carlito"/>
                <w:b w:val="0"/>
                <w:i w:val="0"/>
                <w:color w:val="444444"/>
                <w:sz w:val="18"/>
              </w:rPr>
              <w:t>internal documents].</w:t>
            </w:r>
          </w:p>
          <w:p>
            <w:pPr>
              <w:autoSpaceDN w:val="0"/>
              <w:autoSpaceDE w:val="0"/>
              <w:widowControl/>
              <w:spacing w:line="220" w:lineRule="exact" w:before="60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444444"/>
                <w:sz w:val="18"/>
              </w:rPr>
              <w:t>Hobbs, Straus, Dean &amp; Walker, LLP. (n.d.). Professional profiles: Geoffrey Strommer and Carol Barbero. Washington, DC: Author.</w:t>
            </w:r>
          </w:p>
          <w:p>
            <w:pPr>
              <w:autoSpaceDN w:val="0"/>
              <w:tabs>
                <w:tab w:pos="1966" w:val="left"/>
              </w:tabs>
              <w:autoSpaceDE w:val="0"/>
              <w:widowControl/>
              <w:spacing w:line="220" w:lineRule="exact" w:before="60" w:after="0"/>
              <w:ind w:left="1246" w:right="158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444444"/>
                <w:sz w:val="18"/>
              </w:rPr>
              <w:t xml:space="preserve">National Steering Committee for the Reauthorization of the Indian Health Care Improvement Act. (1999). National Steering </w:t>
            </w:r>
            <w:r>
              <w:tab/>
            </w:r>
            <w:r>
              <w:rPr>
                <w:rFonts w:ascii="Carlito" w:hAnsi="Carlito" w:eastAsia="Carlito"/>
                <w:b w:val="0"/>
                <w:i w:val="0"/>
                <w:color w:val="444444"/>
                <w:sz w:val="18"/>
              </w:rPr>
              <w:t>Committee. Indian Health Service. https://www.ihs.gov/IHCIA/committee/</w:t>
            </w:r>
          </w:p>
          <w:p>
            <w:pPr>
              <w:autoSpaceDN w:val="0"/>
              <w:tabs>
                <w:tab w:pos="1966" w:val="left"/>
              </w:tabs>
              <w:autoSpaceDE w:val="0"/>
              <w:widowControl/>
              <w:spacing w:line="220" w:lineRule="exact" w:before="60" w:after="0"/>
              <w:ind w:left="1246" w:right="115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444444"/>
                <w:sz w:val="18"/>
              </w:rPr>
              <w:t xml:space="preserve">Northwest Portland Area Indian Health Board. (1999–2000). Records and reports on consultation process [Unpublished internal </w:t>
            </w:r>
            <w:r>
              <w:tab/>
            </w:r>
            <w:r>
              <w:rPr>
                <w:rFonts w:ascii="Carlito" w:hAnsi="Carlito" w:eastAsia="Carlito"/>
                <w:b w:val="0"/>
                <w:i w:val="0"/>
                <w:color w:val="444444"/>
                <w:sz w:val="18"/>
              </w:rPr>
              <w:t>documents]. Portland, OR: Author.</w:t>
            </w:r>
          </w:p>
          <w:p>
            <w:pPr>
              <w:autoSpaceDN w:val="0"/>
              <w:tabs>
                <w:tab w:pos="1966" w:val="left"/>
              </w:tabs>
              <w:autoSpaceDE w:val="0"/>
              <w:widowControl/>
              <w:spacing w:line="220" w:lineRule="exact" w:before="60" w:after="0"/>
              <w:ind w:left="1246" w:right="115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444444"/>
                <w:sz w:val="18"/>
              </w:rPr>
              <w:t xml:space="preserve">U.S. Senate Committee on Indian Affairs. (2003). Statements from the National Steering Committee reauthorization of the IHCIA </w:t>
            </w:r>
            <w:r>
              <w:tab/>
            </w:r>
            <w:r>
              <w:rPr>
                <w:rFonts w:ascii="Carlito" w:hAnsi="Carlito" w:eastAsia="Carlito"/>
                <w:b w:val="0"/>
                <w:i w:val="0"/>
                <w:color w:val="444444"/>
                <w:sz w:val="18"/>
              </w:rPr>
              <w:t xml:space="preserve">(Senate Hearing 108-509). U.S. Government Publishing Office. </w:t>
            </w:r>
          </w:p>
          <w:p>
            <w:pPr>
              <w:autoSpaceDN w:val="0"/>
              <w:autoSpaceDE w:val="0"/>
              <w:widowControl/>
              <w:spacing w:line="220" w:lineRule="exact" w:before="0" w:after="0"/>
              <w:ind w:left="1966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444444"/>
                <w:sz w:val="18"/>
              </w:rPr>
              <w:t>https://www.govinfo.gov/content/pkg/CHRG-108shrg88509/html/CHRG-108shrg88509.htm</w:t>
            </w:r>
          </w:p>
          <w:p>
            <w:pPr>
              <w:autoSpaceDN w:val="0"/>
              <w:autoSpaceDE w:val="0"/>
              <w:widowControl/>
              <w:spacing w:line="272" w:lineRule="exact" w:before="1012" w:after="0"/>
              <w:ind w:left="0" w:right="0" w:firstLine="0"/>
              <w:jc w:val="center"/>
            </w:pPr>
            <w:r>
              <w:rPr>
                <w:rFonts w:ascii="Noto Sans" w:hAnsi="Noto Sans" w:eastAsia="Noto Sans"/>
                <w:b w:val="0"/>
                <w:i w:val="0"/>
                <w:color w:val="156082"/>
                <w:sz w:val="20"/>
              </w:rPr>
              <w:t>pg. 4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132" w:right="152" w:bottom="130" w:left="17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3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993" w:type="dxa"/>
      </w:tblPr>
      <w:tblGrid>
        <w:gridCol w:w="11916"/>
      </w:tblGrid>
      <w:tr>
        <w:trPr>
          <w:trHeight w:hRule="atLeast" w:val="15272"/>
        </w:trPr>
        <w:tc>
          <w:tcPr>
            <w:tcW w:type="dxa" w:w="11872"/>
            <w:tcBorders>
              <w:start w:sz="10.0" w:val="single" w:color="#747474"/>
              <w:top w:sz="10.0" w:val="single" w:color="#747474"/>
              <w:end w:sz="10.0" w:val="single" w:color="#747474"/>
              <w:bottom w:sz="10.0" w:val="single" w:color="#747474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502" w:after="0"/>
              <w:ind w:left="0" w:right="0" w:firstLin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43600" cy="222884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2288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utoSpaceDN w:val="0"/>
              <w:autoSpaceDE w:val="0"/>
              <w:widowControl/>
              <w:spacing w:line="272" w:lineRule="exact" w:before="9550" w:after="0"/>
              <w:ind w:left="0" w:right="0" w:firstLine="0"/>
              <w:jc w:val="center"/>
            </w:pPr>
            <w:r>
              <w:rPr>
                <w:rFonts w:ascii="Noto Sans" w:hAnsi="Noto Sans" w:eastAsia="Noto Sans"/>
                <w:b w:val="0"/>
                <w:i w:val="0"/>
                <w:color w:val="156082"/>
                <w:sz w:val="20"/>
              </w:rPr>
              <w:t>pg. 5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132" w:right="152" w:bottom="130" w:left="17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0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4.000000000000021" w:type="dxa"/>
      </w:tblPr>
      <w:tblGrid>
        <w:gridCol w:w="11644"/>
      </w:tblGrid>
      <w:tr>
        <w:trPr>
          <w:trHeight w:hRule="atLeast" w:val="14984"/>
        </w:trPr>
        <w:tc>
          <w:tcPr>
            <w:tcW w:type="dxa" w:w="11596"/>
            <w:tcBorders>
              <w:start w:sz="10.0" w:val="single" w:color="#747474"/>
              <w:top w:sz="10.0" w:val="single" w:color="#747474"/>
              <w:end w:sz="10.0" w:val="single" w:color="#747474"/>
              <w:bottom w:sz="10.0" w:val="single" w:color="#747474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418" w:after="0"/>
              <w:ind w:left="0" w:right="0" w:firstLine="0"/>
              <w:jc w:val="center"/>
            </w:pPr>
            <w:r>
              <w:rPr>
                <w:rFonts w:ascii="Noto Sans" w:hAnsi="Noto Sans" w:eastAsia="Noto Sans"/>
                <w:b w:val="0"/>
                <w:i w:val="0"/>
                <w:color w:val="156082"/>
                <w:sz w:val="20"/>
              </w:rPr>
              <w:t>pg. 6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2240" w:h="15840"/>
      <w:pgMar w:top="202" w:right="288" w:bottom="202" w:left="30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