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592"/>
        <w:ind w:left="0" w:right="0"/>
      </w:pPr>
    </w:p>
    <w:p>
      <w:pPr>
        <w:autoSpaceDN w:val="0"/>
        <w:autoSpaceDE w:val="0"/>
        <w:widowControl/>
        <w:spacing w:line="258" w:lineRule="exact" w:before="0" w:after="0"/>
        <w:ind w:left="2160" w:right="2160" w:firstLine="0"/>
        <w:jc w:val="center"/>
      </w:pPr>
      <w:r>
        <w:rPr>
          <w:rFonts w:ascii="Liberation Sans" w:hAnsi="Liberation Sans" w:eastAsia="Liberation Sans"/>
          <w:b/>
          <w:i w:val="0"/>
          <w:color w:val="8B6914"/>
          <w:sz w:val="18"/>
        </w:rPr>
        <w:t>I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N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D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I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A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N H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E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A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L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T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H F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I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N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A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N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C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I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N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G S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E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R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I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E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 xml:space="preserve">S </w:t>
      </w:r>
      <w:r>
        <w:rPr>
          <w:rFonts w:ascii="Liberation Sans" w:hAnsi="Liberation Sans" w:eastAsia="Liberation Sans"/>
          <w:b w:val="0"/>
          <w:i/>
          <w:color w:val="6B1F2A"/>
          <w:sz w:val="22"/>
        </w:rPr>
        <w:t>II. Administrative Data History — Policy Article</w:t>
      </w:r>
    </w:p>
    <w:p>
      <w:pPr>
        <w:autoSpaceDN w:val="0"/>
        <w:autoSpaceDE w:val="0"/>
        <w:widowControl/>
        <w:spacing w:line="558" w:lineRule="exact" w:before="826" w:after="0"/>
        <w:ind w:left="0" w:right="0" w:firstLine="0"/>
        <w:jc w:val="center"/>
      </w:pPr>
      <w:r>
        <w:rPr>
          <w:rFonts w:ascii="Liberation Sans" w:hAnsi="Liberation Sans" w:eastAsia="Liberation Sans"/>
          <w:b/>
          <w:i w:val="0"/>
          <w:color w:val="1A1A1A"/>
          <w:sz w:val="50"/>
        </w:rPr>
        <w:t>Improving Federal Health Data</w:t>
      </w:r>
    </w:p>
    <w:p>
      <w:pPr>
        <w:autoSpaceDN w:val="0"/>
        <w:tabs>
          <w:tab w:pos="858" w:val="left"/>
          <w:tab w:pos="3452" w:val="left"/>
        </w:tabs>
        <w:autoSpaceDE w:val="0"/>
        <w:widowControl/>
        <w:spacing w:line="316" w:lineRule="exact" w:before="224" w:after="0"/>
        <w:ind w:left="158" w:right="0" w:firstLine="0"/>
        <w:jc w:val="left"/>
      </w:pPr>
      <w:r>
        <w:tab/>
      </w:r>
      <w:r>
        <w:rPr>
          <w:rFonts w:ascii="Liberation Sans" w:hAnsi="Liberation Sans" w:eastAsia="Liberation Sans"/>
          <w:b/>
          <w:i w:val="0"/>
          <w:color w:val="1A1A1A"/>
          <w:sz w:val="40"/>
        </w:rPr>
        <w:t xml:space="preserve">on American Indians and Alaska Natives </w:t>
      </w:r>
      <w:r>
        <w:rPr>
          <w:rFonts w:ascii="Liberation Sans" w:hAnsi="Liberation Sans" w:eastAsia="Liberation Sans"/>
          <w:b w:val="0"/>
          <w:i/>
          <w:color w:val="1A7A6E"/>
          <w:sz w:val="24"/>
        </w:rPr>
        <w:t xml:space="preserve">The Role of the CMS Tribal Technical Advisory Group in Advancing Data Systems for </w:t>
      </w:r>
      <w:r>
        <w:tab/>
      </w:r>
      <w:r>
        <w:tab/>
      </w:r>
      <w:r>
        <w:rPr>
          <w:rFonts w:ascii="Liberation Sans" w:hAnsi="Liberation Sans" w:eastAsia="Liberation Sans"/>
          <w:b w:val="0"/>
          <w:i/>
          <w:color w:val="1A7A6E"/>
          <w:sz w:val="24"/>
        </w:rPr>
        <w:t>Medicare and Medicaid</w:t>
      </w:r>
    </w:p>
    <w:p>
      <w:pPr>
        <w:autoSpaceDN w:val="0"/>
        <w:autoSpaceDE w:val="0"/>
        <w:widowControl/>
        <w:spacing w:line="322" w:lineRule="exact" w:before="870" w:after="0"/>
        <w:ind w:left="2736" w:right="2880" w:firstLine="0"/>
        <w:jc w:val="center"/>
      </w:pPr>
      <w:r>
        <w:rPr>
          <w:rFonts w:ascii="Liberation Sans" w:hAnsi="Liberation Sans" w:eastAsia="Liberation Sans"/>
          <w:b/>
          <w:i w:val="0"/>
          <w:color w:val="1A1A1A"/>
          <w:sz w:val="28"/>
        </w:rPr>
        <w:t xml:space="preserve">Edward J. Fox, PhD </w:t>
      </w:r>
      <w:r>
        <w:br/>
      </w:r>
      <w:r>
        <w:rPr>
          <w:rFonts w:ascii="Liberation Sans" w:hAnsi="Liberation Sans" w:eastAsia="Liberation Sans"/>
          <w:b w:val="0"/>
          <w:i/>
          <w:color w:val="888888"/>
          <w:sz w:val="22"/>
        </w:rPr>
        <w:t xml:space="preserve">Policy Article (Final, Formatted Word) </w:t>
      </w:r>
      <w:r>
        <w:br/>
      </w:r>
      <w:r>
        <w:rPr>
          <w:rFonts w:ascii="Liberation Sans" w:hAnsi="Liberation Sans" w:eastAsia="Liberation Sans"/>
          <w:b w:val="0"/>
          <w:i w:val="0"/>
          <w:color w:val="888888"/>
          <w:sz w:val="22"/>
        </w:rPr>
        <w:t>March 2026</w:t>
      </w:r>
    </w:p>
    <w:p>
      <w:pPr>
        <w:autoSpaceDN w:val="0"/>
        <w:autoSpaceDE w:val="0"/>
        <w:widowControl/>
        <w:spacing w:line="240" w:lineRule="auto" w:before="28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1905000" cy="23812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38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178" w:lineRule="exact" w:before="520" w:after="0"/>
        <w:ind w:left="0" w:right="0" w:firstLine="0"/>
        <w:jc w:val="center"/>
      </w:pPr>
      <w:r>
        <w:rPr>
          <w:rFonts w:ascii="Liberation Sans" w:hAnsi="Liberation Sans" w:eastAsia="Liberation Sans"/>
          <w:b w:val="0"/>
          <w:i/>
          <w:color w:val="888888"/>
          <w:sz w:val="16"/>
        </w:rPr>
        <w:t>Carved mask, gift to the author from the Port Gamble S’Klallam Tribe</w:t>
      </w:r>
    </w:p>
    <w:p>
      <w:pPr>
        <w:sectPr>
          <w:pgSz w:w="12240" w:h="15840"/>
          <w:pgMar w:top="814" w:right="1398" w:bottom="1440" w:left="141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644"/>
        <w:ind w:left="0" w:right="0"/>
      </w:pPr>
    </w:p>
    <w:p>
      <w:pPr>
        <w:autoSpaceDN w:val="0"/>
        <w:autoSpaceDE w:val="0"/>
        <w:widowControl/>
        <w:spacing w:line="268" w:lineRule="exact" w:before="214" w:after="0"/>
        <w:ind w:left="2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4"/>
        </w:rPr>
        <w:t>Abstract</w:t>
      </w:r>
    </w:p>
    <w:p>
      <w:pPr>
        <w:autoSpaceDN w:val="0"/>
        <w:autoSpaceDE w:val="0"/>
        <w:widowControl/>
        <w:spacing w:line="304" w:lineRule="exact" w:before="68" w:after="0"/>
        <w:ind w:left="24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Federal administrative data systems have historically provided incomplete and often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inaccurate information about American Indians and Alaska Natives (AI/ANs) participating in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federal health programs. Race misclassification, limited identification of Tribal health providers,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and restricted Tribal access to federal datasets have complicated efforts to evaluate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participation in Medicare and Medicaid programs and to assess health outcomes among AI/AN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populations.</w:t>
      </w:r>
    </w:p>
    <w:p>
      <w:pPr>
        <w:autoSpaceDN w:val="0"/>
        <w:autoSpaceDE w:val="0"/>
        <w:widowControl/>
        <w:spacing w:line="304" w:lineRule="exact" w:before="78" w:after="0"/>
        <w:ind w:left="24" w:right="144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This article examines the role of the CMS Tribal Technical Advisory Group in improving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availability and quality of federal data concerning AI/AN participation in programs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administered by the Centers for Medicare &amp; Medicaid Services. Through the work of its Data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Committee, TTAG discussions contributed to the development of improved analytical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approaches for identifying AI/AN beneficiaries in federal datasets.</w:t>
      </w:r>
    </w:p>
    <w:p>
      <w:pPr>
        <w:autoSpaceDN w:val="0"/>
        <w:autoSpaceDE w:val="0"/>
        <w:widowControl/>
        <w:spacing w:line="302" w:lineRule="exact" w:before="82" w:after="0"/>
        <w:ind w:left="24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paper traces the evolution of these efforts across two phases: an initial period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focused on documenting data limitations and developing analytical methods, followed by a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second phase involving the implementation of data linkage between CMS administrative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datasets and the IHS patient registration system. These efforts substantially improved the ability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of Tribal governments, federal agencies, and researchers to analyze AI/AN participation in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federal health programs.</w:t>
      </w:r>
    </w:p>
    <w:p>
      <w:pPr>
        <w:autoSpaceDN w:val="0"/>
        <w:autoSpaceDE w:val="0"/>
        <w:widowControl/>
        <w:spacing w:line="254" w:lineRule="exact" w:before="130" w:after="0"/>
        <w:ind w:left="24" w:right="458" w:firstLine="0"/>
        <w:jc w:val="both"/>
      </w:pPr>
      <w:r>
        <w:rPr>
          <w:rFonts w:ascii="Liberation Sans" w:hAnsi="Liberation Sans" w:eastAsia="Liberation Sans"/>
          <w:b/>
          <w:i w:val="0"/>
          <w:color w:val="1A7A6E"/>
          <w:sz w:val="22"/>
        </w:rPr>
        <w:t xml:space="preserve">Keywords: </w:t>
      </w:r>
      <w:r>
        <w:rPr>
          <w:rFonts w:ascii="Liberation Sans" w:hAnsi="Liberation Sans" w:eastAsia="Liberation Sans"/>
          <w:b w:val="0"/>
          <w:i/>
          <w:color w:val="1A1A1A"/>
          <w:sz w:val="22"/>
        </w:rPr>
        <w:t xml:space="preserve">American Indians and Alaska Natives, Medicaid, Medicare, federal health data, </w:t>
      </w:r>
      <w:r>
        <w:rPr>
          <w:rFonts w:ascii="Liberation Sans" w:hAnsi="Liberation Sans" w:eastAsia="Liberation Sans"/>
          <w:b w:val="0"/>
          <w:i/>
          <w:color w:val="1A1A1A"/>
          <w:sz w:val="22"/>
        </w:rPr>
        <w:t xml:space="preserve">Tribal Technical Advisory Group, racial misclassification, CMS-IHS data linkage, Tribal data </w:t>
      </w:r>
      <w:r>
        <w:rPr>
          <w:rFonts w:ascii="Liberation Sans" w:hAnsi="Liberation Sans" w:eastAsia="Liberation Sans"/>
          <w:b w:val="0"/>
          <w:i/>
          <w:color w:val="1A1A1A"/>
          <w:sz w:val="22"/>
        </w:rPr>
        <w:t>sovereignty</w:t>
      </w:r>
    </w:p>
    <w:p>
      <w:pPr>
        <w:autoSpaceDN w:val="0"/>
        <w:autoSpaceDE w:val="0"/>
        <w:widowControl/>
        <w:spacing w:line="290" w:lineRule="exact" w:before="862" w:after="0"/>
        <w:ind w:left="2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1.  Introduction</w:t>
      </w:r>
    </w:p>
    <w:p>
      <w:pPr>
        <w:autoSpaceDN w:val="0"/>
        <w:autoSpaceDE w:val="0"/>
        <w:widowControl/>
        <w:spacing w:line="304" w:lineRule="exact" w:before="210" w:after="0"/>
        <w:ind w:left="24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Reliable health data are essential for evaluating public health programs, measuring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health outcomes, and informing health policy decisions. For American Indians and Alaska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Natives (AI/ANs), federal administrative data systems have historically provided an incomplete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and often inaccurate picture of participation in Medicare, Medicaid, and related programs. Long-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standing challenges—including racial misclassification in federal datasets, inconsistent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identification of Tribal health providers, and limited Tribal access to federal administrative data—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have complicated efforts to analyze health outcomes and program participation among AI/AN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populations.</w:t>
      </w:r>
    </w:p>
    <w:p>
      <w:pPr>
        <w:autoSpaceDN w:val="0"/>
        <w:autoSpaceDE w:val="0"/>
        <w:widowControl/>
        <w:spacing w:line="304" w:lineRule="exact" w:before="78" w:after="0"/>
        <w:ind w:left="24" w:right="288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These limitations have had significant implications for health policy. When federal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datasets underestimate the number of AI/AN beneficiaries participating in Medicare and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Medicaid programs, policymakers may underestimate the role of these programs in financing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care delivered through Tribal health systems. This article examines how the CMS Tribal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Technical Advisory Group, through its Data Committee, worked to address these limitations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over more than two decades.</w:t>
      </w:r>
    </w:p>
    <w:p>
      <w:pPr>
        <w:sectPr>
          <w:pgSz w:w="12240" w:h="15840"/>
          <w:pgMar w:top="864" w:right="1398" w:bottom="838" w:left="141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04"/>
        <w:ind w:left="0" w:right="0"/>
      </w:pPr>
    </w:p>
    <w:p>
      <w:pPr>
        <w:autoSpaceDN w:val="0"/>
        <w:autoSpaceDE w:val="0"/>
        <w:widowControl/>
        <w:spacing w:line="290" w:lineRule="exact" w:before="0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2.  Historical Limitations in Federal Data on AI/AN Populations</w:t>
      </w:r>
    </w:p>
    <w:p>
      <w:pPr>
        <w:autoSpaceDN w:val="0"/>
        <w:autoSpaceDE w:val="0"/>
        <w:widowControl/>
        <w:spacing w:line="304" w:lineRule="exact" w:before="210" w:after="0"/>
        <w:ind w:left="12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Racial misclassification has long been recognized as one of the most significant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limitations of federal administrative data for AI/AN health research. In Medicare enrollment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records, AI/AN beneficiaries have historically been misclassified as belonging to other racial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categories. Studies from the early 2000s estimated that federal enrollment datasets correctly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identified only 40 to 60 percent of AI/AN beneficiaries, with the remainder coded as white, black,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or unknown.</w:t>
      </w:r>
    </w:p>
    <w:p>
      <w:pPr>
        <w:autoSpaceDN w:val="0"/>
        <w:autoSpaceDE w:val="0"/>
        <w:widowControl/>
        <w:spacing w:line="304" w:lineRule="exact" w:before="78" w:after="0"/>
        <w:ind w:left="12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This misclassification problem was compounded by the structure of Medicaid data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systems. States administer Medicaid programs under broad federal guidelines, and state data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systems varied substantially in their collection of race and ethnicity information. Many state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systems did not systematically collect AI/AN race information, and those that did often relied on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self-reported data that was inconsistently captured.</w:t>
      </w:r>
    </w:p>
    <w:p>
      <w:pPr>
        <w:autoSpaceDN w:val="0"/>
        <w:autoSpaceDE w:val="0"/>
        <w:widowControl/>
        <w:spacing w:line="290" w:lineRule="exact" w:before="420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3.  Creation of the CMS Tribal Technical Advisory Group</w:t>
      </w:r>
    </w:p>
    <w:p>
      <w:pPr>
        <w:autoSpaceDN w:val="0"/>
        <w:autoSpaceDE w:val="0"/>
        <w:widowControl/>
        <w:spacing w:line="302" w:lineRule="exact" w:before="210" w:after="0"/>
        <w:ind w:left="12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CMS Tribal Technical Advisory Group was established in 2003 as a formal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mechanism for government-to-government consultation between CMS and Tribal nations.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TTAG was created in response to Tribal concerns that CMS policy development had not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adequately incorporated Tribal perspectives, particularly with respect to Medicaid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reimbursement for Tribal health programs and the administration of Medicare in Tribal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communities. The TTAG is composed of elected Tribal leaders or their designees, representing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the geographic diversity of Tribal nations across the United States.</w:t>
      </w:r>
    </w:p>
    <w:p>
      <w:pPr>
        <w:autoSpaceDN w:val="0"/>
        <w:autoSpaceDE w:val="0"/>
        <w:widowControl/>
        <w:spacing w:line="290" w:lineRule="exact" w:before="418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4.  Development of the TTAG Data Committee</w:t>
      </w:r>
    </w:p>
    <w:p>
      <w:pPr>
        <w:autoSpaceDN w:val="0"/>
        <w:autoSpaceDE w:val="0"/>
        <w:widowControl/>
        <w:spacing w:line="304" w:lineRule="exact" w:before="210" w:after="0"/>
        <w:ind w:left="12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Within the broader TTAG structure, a Data Committee was established to address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specific concerns related to the quality and availability of federal data on AI/AN health program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participation. The Data Committee emerged from recognition that many of the policy issues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discussed in TTAG meetings depended on empirical questions that existing federal data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systems could not reliably answer. The committee provided a sustained forum for discussing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analytical methods, evaluating data limitations, and developing recommendations for improving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federal data systems.</w:t>
      </w:r>
    </w:p>
    <w:p>
      <w:pPr>
        <w:autoSpaceDN w:val="0"/>
        <w:autoSpaceDE w:val="0"/>
        <w:widowControl/>
        <w:spacing w:line="300" w:lineRule="exact" w:before="410" w:after="0"/>
        <w:ind w:left="12" w:right="1152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 xml:space="preserve">5.  CMS-Funded Research on AI/AN Participation in Federal Health </w:t>
      </w:r>
      <w:r>
        <w:rPr>
          <w:rFonts w:ascii="Liberation Sans" w:hAnsi="Liberation Sans" w:eastAsia="Liberation Sans"/>
          <w:b/>
          <w:i w:val="0"/>
          <w:color w:val="1A7A6E"/>
          <w:sz w:val="26"/>
        </w:rPr>
        <w:t>Programs</w:t>
      </w:r>
    </w:p>
    <w:p>
      <w:pPr>
        <w:autoSpaceDN w:val="0"/>
        <w:autoSpaceDE w:val="0"/>
        <w:widowControl/>
        <w:spacing w:line="246" w:lineRule="exact" w:before="348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>5.1  Research Context and Objectives</w:t>
      </w:r>
    </w:p>
    <w:p>
      <w:pPr>
        <w:autoSpaceDN w:val="0"/>
        <w:autoSpaceDE w:val="0"/>
        <w:widowControl/>
        <w:spacing w:line="302" w:lineRule="exact" w:before="50" w:after="0"/>
        <w:ind w:left="12" w:right="288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Beginning in the mid-2000s, CMS contracted with the California Rural Indian Health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Board (CRIHB) to conduct research examining AI/AN participation in Medicare and Medicaid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programs using state-level administrative data. This research, conducted primarily by James </w:t>
      </w:r>
    </w:p>
    <w:p>
      <w:pPr>
        <w:sectPr>
          <w:pgSz w:w="12240" w:h="15840"/>
          <w:pgMar w:top="724" w:right="1388" w:bottom="918" w:left="143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02"/>
        <w:ind w:left="0" w:right="0"/>
      </w:pPr>
    </w:p>
    <w:p>
      <w:pPr>
        <w:autoSpaceDN w:val="0"/>
        <w:autoSpaceDE w:val="0"/>
        <w:widowControl/>
        <w:spacing w:line="276" w:lineRule="exact" w:before="0" w:after="0"/>
        <w:ind w:left="12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Crouch and Carol Korenbrot of CRIHB, pioneered methods for identifying AI/AN beneficiaries in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state Medicaid claims data and estimating Medicaid expenditures for this population.</w:t>
      </w:r>
    </w:p>
    <w:p>
      <w:pPr>
        <w:autoSpaceDN w:val="0"/>
        <w:autoSpaceDE w:val="0"/>
        <w:widowControl/>
        <w:spacing w:line="246" w:lineRule="exact" w:before="296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>5.2  The “Gaps and Strategies” Report</w:t>
      </w:r>
    </w:p>
    <w:p>
      <w:pPr>
        <w:autoSpaceDN w:val="0"/>
        <w:autoSpaceDE w:val="0"/>
        <w:widowControl/>
        <w:spacing w:line="302" w:lineRule="exact" w:before="50" w:after="0"/>
        <w:ind w:left="12" w:right="144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CRIHB analyses demonstrated that state Medicaid payment files, while imperfect,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could be used to develop reasonably reliable estimates of AI/AN Medicaid participation and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expenditures at the state level. These analyses also documented systematic variation across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states in the completeness and accuracy of AI/AN race coding, providing an empirical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foundation for subsequent data improvement efforts.</w:t>
      </w:r>
    </w:p>
    <w:p>
      <w:pPr>
        <w:autoSpaceDN w:val="0"/>
        <w:autoSpaceDE w:val="0"/>
        <w:widowControl/>
        <w:spacing w:line="246" w:lineRule="exact" w:before="296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>5.3  Analysis of Medicare Participation</w:t>
      </w:r>
    </w:p>
    <w:p>
      <w:pPr>
        <w:autoSpaceDN w:val="0"/>
        <w:autoSpaceDE w:val="0"/>
        <w:widowControl/>
        <w:spacing w:line="304" w:lineRule="exact" w:before="50" w:after="0"/>
        <w:ind w:left="12" w:right="144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CRIHB analyses of Medicare enrollment and expenditure data documented patterns of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AI/AN Medicare participation that differed from general population patterns. Notably,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analyses identified evidence that racial misclassification was more severe in Medicare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administrative data than in Medicaid data—likely because Medicare enrollment is based on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Social Security records that historically did not include AI/AN race identification.</w:t>
      </w:r>
    </w:p>
    <w:p>
      <w:pPr>
        <w:autoSpaceDN w:val="0"/>
        <w:autoSpaceDE w:val="0"/>
        <w:widowControl/>
        <w:spacing w:line="246" w:lineRule="exact" w:before="296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>5.4  Analysis of Medicaid Participation</w:t>
      </w:r>
    </w:p>
    <w:p>
      <w:pPr>
        <w:autoSpaceDN w:val="0"/>
        <w:autoSpaceDE w:val="0"/>
        <w:widowControl/>
        <w:spacing w:line="304" w:lineRule="exact" w:before="50" w:after="0"/>
        <w:ind w:left="12" w:right="144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Medicaid analyses developed state-level estimates of AI/AN Medicaid spending,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providing the first comprehensive picture of Medicaid’s role in financing care delivered through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Tribal health systems. These estimates became the foundation for subsequent budget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formulation arguments about the importance of Medicaid for Indian health programs and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informed the development of the effective FMAP concept.</w:t>
      </w:r>
    </w:p>
    <w:p>
      <w:pPr>
        <w:autoSpaceDN w:val="0"/>
        <w:autoSpaceDE w:val="0"/>
        <w:widowControl/>
        <w:spacing w:line="290" w:lineRule="exact" w:before="418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6.  TTAG Data Symposia</w:t>
      </w:r>
    </w:p>
    <w:p>
      <w:pPr>
        <w:autoSpaceDN w:val="0"/>
        <w:autoSpaceDE w:val="0"/>
        <w:widowControl/>
        <w:spacing w:line="304" w:lineRule="exact" w:before="210" w:after="0"/>
        <w:ind w:left="12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TTAG Data Committee organized a series of data symposia that brought together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Tribal health officials, federal data analysts, academic researchers, and CMS policy staff to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discuss methods for improving AI/AN health data. These symposia served as a forum for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presenting research findings, discussing analytical challenges, and developing consensus on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priority areas for data improvement. They also helped build relationships between Tribal data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researchers and federal data custodians that proved important in subsequent data linkage work.</w:t>
      </w:r>
    </w:p>
    <w:p>
      <w:pPr>
        <w:autoSpaceDN w:val="0"/>
        <w:autoSpaceDE w:val="0"/>
        <w:widowControl/>
        <w:spacing w:line="290" w:lineRule="exact" w:before="418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7.  Development of CMS–IHS Data Linkage</w:t>
      </w:r>
    </w:p>
    <w:p>
      <w:pPr>
        <w:autoSpaceDN w:val="0"/>
        <w:autoSpaceDE w:val="0"/>
        <w:widowControl/>
        <w:spacing w:line="246" w:lineRule="exact" w:before="348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>7.1  Origins of the Data Linkage Concept</w:t>
      </w:r>
    </w:p>
    <w:p>
      <w:pPr>
        <w:autoSpaceDN w:val="0"/>
        <w:autoSpaceDE w:val="0"/>
        <w:widowControl/>
        <w:spacing w:line="302" w:lineRule="exact" w:before="52" w:after="0"/>
        <w:ind w:left="12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concept of linking CMS administrative datasets with the IHS patient registration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system emerged from recognition that race-based identification of AI/AN beneficiaries in CMS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data was fundamentally unreliable. A data linkage that matched CMS enrollment records to IHS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patient registration records would identify AI/AN individuals based on their verified relationship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with the Indian health system—a more reliable indicator of IHS eligibility than race coding alone.</w:t>
      </w:r>
    </w:p>
    <w:p>
      <w:pPr>
        <w:sectPr>
          <w:pgSz w:w="12240" w:h="15840"/>
          <w:pgMar w:top="724" w:right="1410" w:bottom="958" w:left="143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02"/>
        <w:ind w:left="0" w:right="0"/>
      </w:pPr>
    </w:p>
    <w:p>
      <w:pPr>
        <w:autoSpaceDN w:val="0"/>
        <w:autoSpaceDE w:val="0"/>
        <w:widowControl/>
        <w:spacing w:line="246" w:lineRule="exact" w:before="0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>7.2  Technical Implementation</w:t>
      </w:r>
    </w:p>
    <w:p>
      <w:pPr>
        <w:autoSpaceDN w:val="0"/>
        <w:autoSpaceDE w:val="0"/>
        <w:widowControl/>
        <w:spacing w:line="302" w:lineRule="exact" w:before="52" w:after="0"/>
        <w:ind w:left="12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Technical implementation of the linkage was supported through a CMS grant to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National Indian Health Board (Grant No. 1M0CMS331623, 2020–2021). The NIHB Tribal Data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Project, led by Rochelle Ruffer and Jeannie Le, worked with CMS and IHS to develop and apply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linkage methodology. The project utilized the Virtual Research Data Center (VRDC) and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ResDAC technical assistance infrastructure, with collaboration between the project team and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data access specialists including correspondence with the author in April 2022 documenting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Fox–Ruffer ResDAC collaboration.</w:t>
      </w:r>
    </w:p>
    <w:p>
      <w:pPr>
        <w:autoSpaceDN w:val="0"/>
        <w:autoSpaceDE w:val="0"/>
        <w:widowControl/>
        <w:spacing w:line="246" w:lineRule="exact" w:before="296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>7.3  Analytical Applications</w:t>
      </w:r>
    </w:p>
    <w:p>
      <w:pPr>
        <w:autoSpaceDN w:val="0"/>
        <w:autoSpaceDE w:val="0"/>
        <w:widowControl/>
        <w:spacing w:line="302" w:lineRule="exact" w:before="50" w:after="0"/>
        <w:ind w:left="12" w:right="144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2023 CMS–IHS Data Match, resulting from this work, identified 941,168 confirmed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IHS-access Medicaid enrollees — a count limited to IHS-registered individuals and therefore a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floor on total AI/AN Medicaid enrollment — and documented $6.4–$6.6 billion in associated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Medicaid expenditures modeled through PMPY rates rather than summed from individual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claims. These figures have become the primary anchors for the Indian health financing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analytical work described in the companion papers in this series, representing a substantial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advance over prior survey-based estimates while carrying their own scope limitations.</w:t>
      </w:r>
    </w:p>
    <w:p>
      <w:pPr>
        <w:autoSpaceDN w:val="0"/>
        <w:autoSpaceDE w:val="0"/>
        <w:widowControl/>
        <w:spacing w:line="290" w:lineRule="exact" w:before="418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8.  ACA Era Research and the Continued Use of Survey Data</w:t>
      </w:r>
    </w:p>
    <w:p>
      <w:pPr>
        <w:autoSpaceDN w:val="0"/>
        <w:autoSpaceDE w:val="0"/>
        <w:widowControl/>
        <w:spacing w:line="304" w:lineRule="exact" w:before="210" w:after="0"/>
        <w:ind w:left="12" w:right="144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Affordable Care Act expanded Medicaid eligibility and introduced new insurance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market reforms with significant implications for AI/AN populations. The TTAG Data Committee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engaged with these policy changes and their data implications, including the use of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American Community Survey to track AI/AN coverage trends in the post-ACA environment.</w:t>
      </w:r>
    </w:p>
    <w:p>
      <w:pPr>
        <w:autoSpaceDN w:val="0"/>
        <w:autoSpaceDE w:val="0"/>
        <w:widowControl/>
        <w:spacing w:line="304" w:lineRule="exact" w:before="78" w:after="0"/>
        <w:ind w:left="12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committee also examined the impact of Medicaid expansion decisions—particularly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Supreme Court’s ruling in NFIB v. Sebelius (2012), which made expansion optional—on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AI/AN Medicaid enrollment. Several states with large reservation-based AI/AN populations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declined Medicaid expansion, limiting coverage gains for AI/AN individuals in those states.</w:t>
      </w:r>
    </w:p>
    <w:p>
      <w:pPr>
        <w:autoSpaceDN w:val="0"/>
        <w:autoSpaceDE w:val="0"/>
        <w:widowControl/>
        <w:spacing w:line="290" w:lineRule="exact" w:before="418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9.  Tribal Data Research in the 2020s</w:t>
      </w:r>
    </w:p>
    <w:p>
      <w:pPr>
        <w:autoSpaceDN w:val="0"/>
        <w:autoSpaceDE w:val="0"/>
        <w:widowControl/>
        <w:spacing w:line="246" w:lineRule="exact" w:before="348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>9.1  Emergence of Tribal-Led Data Initiatives</w:t>
      </w:r>
    </w:p>
    <w:p>
      <w:pPr>
        <w:autoSpaceDN w:val="0"/>
        <w:autoSpaceDE w:val="0"/>
        <w:widowControl/>
        <w:spacing w:line="304" w:lineRule="exact" w:before="50" w:after="0"/>
        <w:ind w:left="12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2020s saw a significant expansion of Tribal-led data initiatives, building on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foundation established by TTAG Data Committee work and the CRIHB analytical tradition.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These initiatives reflected both growing Tribal technical capacity and increasing recognition that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Tribal data sovereignty requires Tribes to have meaningful control over data about their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communities.</w:t>
      </w:r>
    </w:p>
    <w:p>
      <w:pPr>
        <w:autoSpaceDN w:val="0"/>
        <w:autoSpaceDE w:val="0"/>
        <w:widowControl/>
        <w:spacing w:line="246" w:lineRule="exact" w:before="296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>9.2  The NIHB Tribal Data Project</w:t>
      </w:r>
    </w:p>
    <w:p>
      <w:pPr>
        <w:autoSpaceDN w:val="0"/>
        <w:autoSpaceDE w:val="0"/>
        <w:widowControl/>
        <w:spacing w:line="304" w:lineRule="exact" w:before="50" w:after="0"/>
        <w:ind w:left="12" w:right="288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NIHB Tribal Data Project, building on the CMS–IHS data linkage work, has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produced a series of annual reports analyzing AI/AN Medicaid and Medicare participation,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expenditures, and coverage trends. Under the leadership of Rochelle Ruffer and Jeannie Le, </w:t>
      </w:r>
    </w:p>
    <w:p>
      <w:pPr>
        <w:sectPr>
          <w:pgSz w:w="12240" w:h="15840"/>
          <w:pgMar w:top="724" w:right="1400" w:bottom="734" w:left="143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02"/>
        <w:ind w:left="0" w:right="0"/>
      </w:pPr>
    </w:p>
    <w:p>
      <w:pPr>
        <w:autoSpaceDN w:val="0"/>
        <w:autoSpaceDE w:val="0"/>
        <w:widowControl/>
        <w:spacing w:line="276" w:lineRule="exact" w:before="0" w:after="0"/>
        <w:ind w:left="12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project represents the most comprehensive and methodologically sophisticated analyses of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AI/AN participation in CMS programs available.</w:t>
      </w:r>
    </w:p>
    <w:p>
      <w:pPr>
        <w:autoSpaceDN w:val="0"/>
        <w:autoSpaceDE w:val="0"/>
        <w:widowControl/>
        <w:spacing w:line="246" w:lineRule="exact" w:before="296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>9.3  The NIHB Data Match Report</w:t>
      </w:r>
    </w:p>
    <w:p>
      <w:pPr>
        <w:autoSpaceDN w:val="0"/>
        <w:autoSpaceDE w:val="0"/>
        <w:widowControl/>
        <w:spacing w:line="302" w:lineRule="exact" w:before="52" w:after="0"/>
        <w:ind w:left="12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2023 CMS–IHS Data Match report—identifying 941,168 confirmed IHS-access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Medicaid enrollees and $6.4–$6.6 billion in associated expenditures—represents the current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state of the art in AI/AN federal health data. These figures serve as the methodological anchor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for a new generation of Indian health financing analyses — the most reliably sourced estimates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currently available, though bounded by the IHS-access population and PMPY expenditure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modeling.</w:t>
      </w:r>
    </w:p>
    <w:p>
      <w:pPr>
        <w:autoSpaceDN w:val="0"/>
        <w:autoSpaceDE w:val="0"/>
        <w:widowControl/>
        <w:spacing w:line="290" w:lineRule="exact" w:before="420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10.  Policy Significance of the TTAG Data Initiative</w:t>
      </w:r>
    </w:p>
    <w:p>
      <w:pPr>
        <w:autoSpaceDN w:val="0"/>
        <w:autoSpaceDE w:val="0"/>
        <w:widowControl/>
        <w:spacing w:line="302" w:lineRule="exact" w:before="212" w:after="0"/>
        <w:ind w:left="12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TTAG Data Committee’s work over more than two decades has had substantial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policy significance. By documenting the scope of racial misclassification in federal datasets,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committee established the empirical foundation for arguments that federal investment in AI/AN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health programs was being systematically underestimated. By supporting the development of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CMS–IHS data linkage, the committee helped create the analytical infrastructure necessary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for rigorous evaluation of AI/AN participation in Medicaid and Medicare.</w:t>
      </w:r>
    </w:p>
    <w:p>
      <w:pPr>
        <w:autoSpaceDN w:val="0"/>
        <w:autoSpaceDE w:val="0"/>
        <w:widowControl/>
        <w:spacing w:line="302" w:lineRule="exact" w:before="82" w:after="0"/>
        <w:ind w:left="12" w:right="144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shift from survey-based estimates to administrative data linkage represents a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significant methodological advance in Indian health financing analysis—from approximate,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survey-derived population estimates to verified, individual-level enrollment records matched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against IHS patient registration data. This advance has made the current generation of Indian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health financing analyses more rigorous and defensible than those produced under the prior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survey-based paradigm, while leaving important scope questions unresolved: the Data Match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covers IHS-registered enrollees, not the full AI/AN Medicaid population, and expenditures are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modeled through PMPY rates rather than summed from claims.</w:t>
      </w:r>
    </w:p>
    <w:p>
      <w:pPr>
        <w:autoSpaceDN w:val="0"/>
        <w:autoSpaceDE w:val="0"/>
        <w:widowControl/>
        <w:spacing w:line="290" w:lineRule="exact" w:before="420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11.  Conclusion</w:t>
      </w:r>
    </w:p>
    <w:p>
      <w:pPr>
        <w:autoSpaceDN w:val="0"/>
        <w:autoSpaceDE w:val="0"/>
        <w:widowControl/>
        <w:spacing w:line="304" w:lineRule="exact" w:before="212" w:after="0"/>
        <w:ind w:left="12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The CMS Tribal Technical Advisory Group Data Committee represents a sustained, two-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decade effort to improve the quality and availability of federal health data on AI/AN populations.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Through a combination of CMS-funded research, data symposia, and the eventual development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of the CMS–IHS data linkage, the committee helped transform the analytical infrastructure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available for Indian health policy analysis.</w:t>
      </w:r>
    </w:p>
    <w:p>
      <w:pPr>
        <w:autoSpaceDN w:val="0"/>
        <w:autoSpaceDE w:val="0"/>
        <w:widowControl/>
        <w:spacing w:line="304" w:lineRule="exact" w:before="78" w:after="0"/>
        <w:ind w:left="12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941,168 confirmed IHS-access Medicaid enrollees identified in the 2023 CMS–IHS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Data Match—and the $6.4–$6.6 billion in associated expenditures modeled through PMPY rates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—represent the culmination of this work and the best-verified figures currently available in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Indian health financing. These figures now anchor a new generation of analyses that are more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rigorous and defensible than prior survey-based estimates, with the scope caveat that they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cover IHS-registered enrollees and modeled expenditures, not the full AI/AN Medicaid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population or summed claims.</w:t>
      </w:r>
    </w:p>
    <w:p>
      <w:pPr>
        <w:sectPr>
          <w:pgSz w:w="12240" w:h="15840"/>
          <w:pgMar w:top="724" w:right="1400" w:bottom="778" w:left="143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644"/>
        <w:ind w:left="0" w:right="0"/>
      </w:pPr>
    </w:p>
    <w:p>
      <w:pPr>
        <w:autoSpaceDN w:val="0"/>
        <w:autoSpaceDE w:val="0"/>
        <w:widowControl/>
        <w:spacing w:line="254" w:lineRule="exact" w:before="364" w:after="0"/>
        <w:ind w:left="14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With the development of the CMS–IHS data linkage and related improvements in federal data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systems, it becomes possible to analyze Indian health financing using verified administrative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data rather than indirect survey proxies. This shift enables a more precise examination of how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Medicaid interacts with the Indian health system. The institutional history traced in this paper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has a Tribal-side counterpart that predates TTAG by nearly a decade. The concept of co-owned</w:t>
      </w:r>
      <w:r>
        <w:rPr>
          <w:rFonts w:ascii="Liberation Sans" w:hAnsi="Liberation Sans" w:eastAsia="Liberation Sans"/>
          <w:b w:val="0"/>
          <w:i w:val="0"/>
          <w:color w:val="C69200"/>
          <w:sz w:val="22"/>
        </w:rPr>
        <w:t xml:space="preserve">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information systems, developed by Northwest Tribes through NPAIHB and ATNI by 1995,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articulated the data governance framework that federal policy eventually moved toward. That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history is documented in Supplement III, which follows this paper. The next paper builds on this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data infrastructure to analyze one of the least understood features of that interaction: the 100%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FMAP provision and its effect on the distribution of financing responsibility between states and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the federal government.</w:t>
      </w:r>
    </w:p>
    <w:p>
      <w:pPr>
        <w:autoSpaceDN w:val="0"/>
        <w:autoSpaceDE w:val="0"/>
        <w:widowControl/>
        <w:spacing w:line="290" w:lineRule="exact" w:before="370" w:after="0"/>
        <w:ind w:left="14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References</w:t>
      </w:r>
    </w:p>
    <w:p>
      <w:pPr>
        <w:autoSpaceDN w:val="0"/>
        <w:autoSpaceDE w:val="0"/>
        <w:widowControl/>
        <w:spacing w:line="254" w:lineRule="exact" w:before="260" w:after="0"/>
        <w:ind w:left="504" w:right="432" w:hanging="36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Ruffer, R., &amp; Le, J. (2025). 2025 state health insurance status report. National Indian Health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Board, Tribal Health Data Project. Funded by Centers for Medicare and Medicaid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Services/HHS.</w:t>
      </w:r>
    </w:p>
    <w:p>
      <w:pPr>
        <w:autoSpaceDN w:val="0"/>
        <w:tabs>
          <w:tab w:pos="504" w:val="left"/>
        </w:tabs>
        <w:autoSpaceDE w:val="0"/>
        <w:widowControl/>
        <w:spacing w:line="254" w:lineRule="exact" w:before="78" w:after="0"/>
        <w:ind w:left="144" w:right="288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Centers for Medicare and Medicaid Services. (2023). CMS–IHS data match: AI/AN Medicaid </w:t>
      </w:r>
      <w:r>
        <w:tab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enrollment and expenditures. U.S. Department of Health and Human Services.</w:t>
      </w:r>
    </w:p>
    <w:p>
      <w:pPr>
        <w:autoSpaceDN w:val="0"/>
        <w:tabs>
          <w:tab w:pos="504" w:val="left"/>
        </w:tabs>
        <w:autoSpaceDE w:val="0"/>
        <w:widowControl/>
        <w:spacing w:line="254" w:lineRule="exact" w:before="78" w:after="0"/>
        <w:ind w:left="144" w:right="576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Fox, E. J. (2026). A history of CMS–IHS Tribal data improvement. Indian Health Financing </w:t>
      </w:r>
      <w:r>
        <w:tab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Working Paper.</w:t>
      </w:r>
    </w:p>
    <w:p>
      <w:pPr>
        <w:autoSpaceDN w:val="0"/>
        <w:tabs>
          <w:tab w:pos="504" w:val="left"/>
        </w:tabs>
        <w:autoSpaceDE w:val="0"/>
        <w:widowControl/>
        <w:spacing w:line="254" w:lineRule="exact" w:before="78" w:after="0"/>
        <w:ind w:left="144" w:right="72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Fox, E. J. (2026). The full-funding requirement for Indian Health Services. Indian Health </w:t>
      </w:r>
      <w:r>
        <w:tab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Financing Working Paper.</w:t>
      </w:r>
    </w:p>
    <w:p>
      <w:pPr>
        <w:autoSpaceDN w:val="0"/>
        <w:tabs>
          <w:tab w:pos="504" w:val="left"/>
        </w:tabs>
        <w:autoSpaceDE w:val="0"/>
        <w:widowControl/>
        <w:spacing w:line="254" w:lineRule="exact" w:before="78" w:after="0"/>
        <w:ind w:left="144" w:right="1152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Indian Health Service. (Multiple years). IHS congressional budget justifications. U.S. </w:t>
      </w:r>
      <w:r>
        <w:tab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Department of Health and Human Services.</w:t>
      </w:r>
    </w:p>
    <w:p>
      <w:pPr>
        <w:sectPr>
          <w:pgSz w:w="12240" w:h="15840"/>
          <w:pgMar w:top="864" w:right="1398" w:bottom="1440" w:left="129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0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690"/>
        <w:gridCol w:w="4690"/>
      </w:tblGrid>
      <w:tr>
        <w:trPr>
          <w:trHeight w:hRule="atLeast" w:val="620"/>
        </w:trPr>
        <w:tc>
          <w:tcPr>
            <w:tcW w:type="dxa" w:w="6498"/>
            <w:tcBorders/>
            <w:shd w:fill="1a7a6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2" w:lineRule="exact" w:before="170" w:after="0"/>
              <w:ind w:left="20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28"/>
              </w:rPr>
              <w:t>Indian Health Financing Series</w:t>
            </w:r>
          </w:p>
        </w:tc>
        <w:tc>
          <w:tcPr>
            <w:tcW w:type="dxa" w:w="2862"/>
            <w:tcBorders/>
            <w:shd w:fill="8b691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2" w:lineRule="exact" w:before="170" w:after="0"/>
              <w:ind w:left="0" w:right="200" w:firstLine="0"/>
              <w:jc w:val="righ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28"/>
              </w:rPr>
              <w:t>Supplement III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2240" w:h="15840"/>
      <w:pgMar w:top="720" w:right="1420" w:bottom="1440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