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34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-2199640</wp:posOffset>
            </wp:positionH>
            <wp:positionV relativeFrom="page">
              <wp:posOffset>-1057910</wp:posOffset>
            </wp:positionV>
            <wp:extent cx="12172950" cy="15753229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72950" cy="1575322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774700</wp:posOffset>
            </wp:positionH>
            <wp:positionV relativeFrom="page">
              <wp:posOffset>2095500</wp:posOffset>
            </wp:positionV>
            <wp:extent cx="6223000" cy="5918200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59182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09"/>
        <w:gridCol w:w="4909"/>
      </w:tblGrid>
      <w:tr>
        <w:trPr>
          <w:trHeight w:hRule="atLeast" w:val="252"/>
        </w:trPr>
        <w:tc>
          <w:tcPr>
            <w:tcW w:type="dxa" w:w="6906"/>
            <w:tcBorders>
              <w:bottom w:sz="3.2000000000000455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28" w:right="0" w:firstLine="0"/>
              <w:jc w:val="left"/>
            </w:pPr>
            <w:r>
              <w:rPr>
                <w:w w:val="101.33333206176758"/>
                <w:rFonts w:ascii="" w:hAnsi="" w:eastAsia=""/>
                <w:b w:val="0"/>
                <w:i w:val="0"/>
                <w:color w:val="1A7A6E"/>
                <w:sz w:val="18"/>
              </w:rPr>
              <w:t>Change in the Share of AI/ANs Reporting IHS Access, 2010–2024</w:t>
            </w:r>
          </w:p>
        </w:tc>
        <w:tc>
          <w:tcPr>
            <w:tcW w:type="dxa" w:w="2872"/>
            <w:tcBorders>
              <w:bottom w:sz="3.2000000000000455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0" w:right="388" w:firstLine="0"/>
              <w:jc w:val="right"/>
            </w:pPr>
            <w:r>
              <w:rPr>
                <w:w w:val="101.33333206176758"/>
                <w:rFonts w:ascii="" w:hAnsi="" w:eastAsia=""/>
                <w:b w:val="0"/>
                <w:i w:val="0"/>
                <w:color w:val="888888"/>
                <w:sz w:val="18"/>
              </w:rPr>
              <w:t>Fox (2026)</w:t>
            </w:r>
          </w:p>
        </w:tc>
      </w:tr>
    </w:tbl>
    <w:p>
      <w:pPr>
        <w:autoSpaceDN w:val="0"/>
        <w:autoSpaceDE w:val="0"/>
        <w:widowControl/>
        <w:spacing w:line="204" w:lineRule="exact" w:before="4112" w:after="0"/>
        <w:ind w:left="2408" w:right="0" w:firstLine="0"/>
        <w:jc w:val="left"/>
      </w:pPr>
      <w:r>
        <w:rPr>
          <w:w w:val="101.33333206176758"/>
          <w:rFonts w:ascii="" w:hAnsi="" w:eastAsia=""/>
          <w:b/>
          <w:i w:val="0"/>
          <w:color w:val="8B6914"/>
          <w:sz w:val="18"/>
        </w:rPr>
        <w:t>I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N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D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I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A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N H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E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A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L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T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H F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I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N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A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N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C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I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N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G S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E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R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I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E</w:t>
      </w:r>
      <w:r>
        <w:rPr>
          <w:w w:val="101.33333206176758"/>
          <w:rFonts w:ascii="" w:hAnsi="" w:eastAsia=""/>
          <w:b/>
          <w:i w:val="0"/>
          <w:color w:val="8B6914"/>
          <w:sz w:val="18"/>
        </w:rPr>
        <w:t>S</w:t>
      </w:r>
    </w:p>
    <w:p>
      <w:pPr>
        <w:autoSpaceDN w:val="0"/>
        <w:autoSpaceDE w:val="0"/>
        <w:widowControl/>
        <w:spacing w:line="224" w:lineRule="exact" w:before="62" w:after="0"/>
        <w:ind w:left="0" w:right="0" w:firstLine="0"/>
        <w:jc w:val="center"/>
      </w:pPr>
      <w:r>
        <w:rPr>
          <w:rFonts w:ascii="" w:hAnsi="" w:eastAsia=""/>
          <w:b w:val="0"/>
          <w:i/>
          <w:color w:val="6B1F2A"/>
          <w:sz w:val="20"/>
        </w:rPr>
        <w:t>III. Indian Health Service Access — Trends Analysis</w:t>
      </w:r>
    </w:p>
    <w:p>
      <w:pPr>
        <w:autoSpaceDN w:val="0"/>
        <w:autoSpaceDE w:val="0"/>
        <w:widowControl/>
        <w:spacing w:line="558" w:lineRule="exact" w:before="788" w:after="0"/>
        <w:ind w:left="0" w:right="0" w:firstLine="0"/>
        <w:jc w:val="center"/>
      </w:pPr>
      <w:r>
        <w:rPr>
          <w:rFonts w:ascii="" w:hAnsi="" w:eastAsia=""/>
          <w:b/>
          <w:i w:val="0"/>
          <w:color w:val="1A1A1A"/>
          <w:sz w:val="50"/>
        </w:rPr>
        <w:t>Change in the Share of AI/ANs</w:t>
      </w:r>
    </w:p>
    <w:p>
      <w:pPr>
        <w:autoSpaceDN w:val="0"/>
        <w:autoSpaceDE w:val="0"/>
        <w:widowControl/>
        <w:spacing w:line="446" w:lineRule="exact" w:before="94" w:after="0"/>
        <w:ind w:left="0" w:right="0" w:firstLine="0"/>
        <w:jc w:val="center"/>
      </w:pPr>
      <w:r>
        <w:rPr>
          <w:rFonts w:ascii="" w:hAnsi="" w:eastAsia=""/>
          <w:b/>
          <w:i w:val="0"/>
          <w:color w:val="1A1A1A"/>
          <w:sz w:val="40"/>
        </w:rPr>
        <w:t>Reporting IHS Access, 2010–2024</w:t>
      </w:r>
    </w:p>
    <w:p>
      <w:pPr>
        <w:autoSpaceDN w:val="0"/>
        <w:autoSpaceDE w:val="0"/>
        <w:widowControl/>
        <w:spacing w:line="268" w:lineRule="exact" w:before="86" w:after="0"/>
        <w:ind w:left="0" w:right="0" w:firstLine="0"/>
        <w:jc w:val="center"/>
      </w:pPr>
      <w:r>
        <w:rPr>
          <w:rFonts w:ascii="" w:hAnsi="" w:eastAsia=""/>
          <w:b w:val="0"/>
          <w:i/>
          <w:color w:val="1A7A6E"/>
          <w:sz w:val="24"/>
        </w:rPr>
        <w:t>An Analysis Using ACS HINS7 Across Four 5-Year PUMS Periods</w:t>
      </w:r>
    </w:p>
    <w:p>
      <w:pPr>
        <w:autoSpaceDN w:val="0"/>
        <w:autoSpaceDE w:val="0"/>
        <w:widowControl/>
        <w:spacing w:line="312" w:lineRule="exact" w:before="840" w:after="0"/>
        <w:ind w:left="0" w:right="0" w:firstLine="0"/>
        <w:jc w:val="center"/>
      </w:pPr>
      <w:r>
        <w:rPr>
          <w:rFonts w:ascii="" w:hAnsi="" w:eastAsia=""/>
          <w:b/>
          <w:i w:val="0"/>
          <w:color w:val="1A1A1A"/>
          <w:sz w:val="28"/>
        </w:rPr>
        <w:t>Edward J. Fox, PhD</w:t>
      </w:r>
    </w:p>
    <w:p>
      <w:pPr>
        <w:autoSpaceDN w:val="0"/>
        <w:autoSpaceDE w:val="0"/>
        <w:widowControl/>
        <w:spacing w:line="226" w:lineRule="exact" w:before="84" w:after="0"/>
        <w:ind w:left="0" w:right="0" w:firstLine="0"/>
        <w:jc w:val="center"/>
      </w:pPr>
      <w:r>
        <w:rPr>
          <w:rFonts w:ascii="" w:hAnsi="" w:eastAsia=""/>
          <w:b w:val="0"/>
          <w:i/>
          <w:color w:val="888888"/>
          <w:sz w:val="20"/>
        </w:rPr>
        <w:t>Indian Health Financing Policy Series (Research Memo)</w:t>
      </w:r>
    </w:p>
    <w:p>
      <w:pPr>
        <w:autoSpaceDN w:val="0"/>
        <w:autoSpaceDE w:val="0"/>
        <w:widowControl/>
        <w:spacing w:line="224" w:lineRule="exact" w:before="68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888888"/>
          <w:sz w:val="20"/>
        </w:rPr>
        <w:t>March 2026</w:t>
      </w:r>
    </w:p>
    <w:p>
      <w:pPr>
        <w:autoSpaceDN w:val="0"/>
        <w:autoSpaceDE w:val="0"/>
        <w:widowControl/>
        <w:spacing w:line="178" w:lineRule="exact" w:before="4508" w:after="542"/>
        <w:ind w:left="0" w:right="0" w:firstLine="0"/>
        <w:jc w:val="center"/>
      </w:pPr>
      <w:r>
        <w:rPr>
          <w:w w:val="98.99999499320984"/>
          <w:rFonts w:ascii="" w:hAnsi="" w:eastAsia=""/>
          <w:b w:val="0"/>
          <w:i/>
          <w:color w:val="888888"/>
          <w:sz w:val="16"/>
        </w:rPr>
        <w:t>Carved mask, gift to the author from the Port Gamble S’Klallam Tribe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3273"/>
        <w:gridCol w:w="3273"/>
        <w:gridCol w:w="3273"/>
      </w:tblGrid>
      <w:tr>
        <w:trPr>
          <w:trHeight w:hRule="atLeast" w:val="326"/>
        </w:trPr>
        <w:tc>
          <w:tcPr>
            <w:tcW w:type="dxa" w:w="6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168" w:after="0"/>
              <w:ind w:left="22" w:right="0" w:firstLine="0"/>
              <w:jc w:val="left"/>
            </w:pPr>
            <w:r>
              <w:rPr>
                <w:w w:val="98.99999499320984"/>
                <w:rFonts w:ascii="" w:hAnsi="" w:eastAsia=""/>
                <w:b w:val="0"/>
                <w:i w:val="0"/>
                <w:color w:val="888888"/>
                <w:sz w:val="16"/>
              </w:rPr>
              <w:t xml:space="preserve">Indian Health Financing Series — Working Paper </w:t>
            </w:r>
          </w:p>
        </w:tc>
        <w:tc>
          <w:tcPr>
            <w:tcW w:type="dxa" w:w="34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168" w:after="0"/>
              <w:ind w:left="0" w:right="118" w:firstLine="0"/>
              <w:jc w:val="right"/>
            </w:pPr>
            <w:r>
              <w:rPr>
                <w:w w:val="98.99999499320984"/>
                <w:rFonts w:ascii="" w:hAnsi="" w:eastAsia=""/>
                <w:b w:val="0"/>
                <w:i w:val="0"/>
                <w:color w:val="888888"/>
                <w:sz w:val="16"/>
              </w:rPr>
              <w:t>March 2026</w:t>
            </w:r>
          </w:p>
        </w:tc>
        <w:tc>
          <w:tcPr>
            <w:tcW w:type="dxa" w:w="3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8" w:firstLine="0"/>
              <w:jc w:val="righ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1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354" w:right="1188" w:bottom="356" w:left="123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34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-2199640</wp:posOffset>
            </wp:positionH>
            <wp:positionV relativeFrom="page">
              <wp:posOffset>-1057910</wp:posOffset>
            </wp:positionV>
            <wp:extent cx="12172950" cy="15753229"/>
            <wp:wrapNone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72950" cy="1575322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774700</wp:posOffset>
            </wp:positionH>
            <wp:positionV relativeFrom="page">
              <wp:posOffset>2095500</wp:posOffset>
            </wp:positionV>
            <wp:extent cx="6223000" cy="5918200"/>
            <wp:wrapNone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59182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09"/>
        <w:gridCol w:w="4909"/>
      </w:tblGrid>
      <w:tr>
        <w:trPr>
          <w:trHeight w:hRule="atLeast" w:val="252"/>
        </w:trPr>
        <w:tc>
          <w:tcPr>
            <w:tcW w:type="dxa" w:w="6906"/>
            <w:tcBorders>
              <w:bottom w:sz="3.2000000000000455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28" w:right="0" w:firstLine="0"/>
              <w:jc w:val="left"/>
            </w:pPr>
            <w:r>
              <w:rPr>
                <w:w w:val="101.33333206176758"/>
                <w:rFonts w:ascii="" w:hAnsi="" w:eastAsia=""/>
                <w:b w:val="0"/>
                <w:i w:val="0"/>
                <w:color w:val="1A7A6E"/>
                <w:sz w:val="18"/>
              </w:rPr>
              <w:t>Change in the Share of AI/ANs Reporting IHS Access, 2010–2024</w:t>
            </w:r>
          </w:p>
        </w:tc>
        <w:tc>
          <w:tcPr>
            <w:tcW w:type="dxa" w:w="2872"/>
            <w:tcBorders>
              <w:bottom w:sz="3.2000000000000455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0" w:right="388" w:firstLine="0"/>
              <w:jc w:val="right"/>
            </w:pPr>
            <w:r>
              <w:rPr>
                <w:w w:val="101.33333206176758"/>
                <w:rFonts w:ascii="" w:hAnsi="" w:eastAsia=""/>
                <w:b w:val="0"/>
                <w:i w:val="0"/>
                <w:color w:val="888888"/>
                <w:sz w:val="18"/>
              </w:rPr>
              <w:t>Fox (2026)</w:t>
            </w:r>
          </w:p>
        </w:tc>
      </w:tr>
    </w:tbl>
    <w:p>
      <w:pPr>
        <w:autoSpaceDN w:val="0"/>
        <w:autoSpaceDE w:val="0"/>
        <w:widowControl/>
        <w:spacing w:line="268" w:lineRule="exact" w:before="584" w:after="0"/>
        <w:ind w:left="28" w:right="0" w:firstLine="0"/>
        <w:jc w:val="left"/>
      </w:pPr>
      <w:r>
        <w:rPr>
          <w:rFonts w:ascii="" w:hAnsi="" w:eastAsia=""/>
          <w:b/>
          <w:i w:val="0"/>
          <w:color w:val="1A1A1A"/>
          <w:sz w:val="24"/>
        </w:rPr>
        <w:t>Research Question</w:t>
      </w:r>
    </w:p>
    <w:p>
      <w:pPr>
        <w:autoSpaceDN w:val="0"/>
        <w:autoSpaceDE w:val="0"/>
        <w:widowControl/>
        <w:spacing w:line="304" w:lineRule="exact" w:before="84" w:after="0"/>
        <w:ind w:left="28" w:right="0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How has the share of American Indians and Alaska Natives (AI/ANs) who self-report access </w:t>
      </w:r>
      <w:r>
        <w:rPr>
          <w:rFonts w:ascii="" w:hAnsi="" w:eastAsia=""/>
          <w:b w:val="0"/>
          <w:i w:val="0"/>
          <w:color w:val="1A1A1A"/>
          <w:sz w:val="22"/>
        </w:rPr>
        <w:t xml:space="preserve">to the Indian Health Service changed between 2010 and 2024, as measured by the ACS HINS7 </w:t>
      </w:r>
      <w:r>
        <w:rPr>
          <w:rFonts w:ascii="" w:hAnsi="" w:eastAsia=""/>
          <w:b w:val="0"/>
          <w:i w:val="0"/>
          <w:color w:val="1A1A1A"/>
          <w:sz w:val="22"/>
        </w:rPr>
        <w:t>variable?</w:t>
      </w:r>
    </w:p>
    <w:p>
      <w:pPr>
        <w:autoSpaceDN w:val="0"/>
        <w:autoSpaceDE w:val="0"/>
        <w:widowControl/>
        <w:spacing w:line="304" w:lineRule="exact" w:before="80" w:after="0"/>
        <w:ind w:left="28" w:right="0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This question matters for several interconnected reasons. First, IHS access is the </w:t>
      </w:r>
      <w:r>
        <w:br/>
      </w:r>
      <w:r>
        <w:rPr>
          <w:rFonts w:ascii="" w:hAnsi="" w:eastAsia=""/>
          <w:b w:val="0"/>
          <w:i w:val="0"/>
          <w:color w:val="1A1A1A"/>
          <w:sz w:val="22"/>
        </w:rPr>
        <w:t xml:space="preserve">denominator underlying Medicaid billing at the 100% FMAP rate — understanding whether that </w:t>
      </w:r>
      <w:r>
        <w:rPr>
          <w:rFonts w:ascii="" w:hAnsi="" w:eastAsia=""/>
          <w:b w:val="0"/>
          <w:i w:val="0"/>
          <w:color w:val="1A1A1A"/>
          <w:sz w:val="22"/>
        </w:rPr>
        <w:t xml:space="preserve">population is growing or shrinking relative to the total AIAN population has direct fiscal implications. </w:t>
      </w:r>
      <w:r>
        <w:rPr>
          <w:rFonts w:ascii="" w:hAnsi="" w:eastAsia=""/>
          <w:b w:val="0"/>
          <w:i w:val="0"/>
          <w:color w:val="1A1A1A"/>
          <w:sz w:val="22"/>
        </w:rPr>
        <w:t xml:space="preserve">Second, the ACA’s coverage expansions were designed in part to layer insurance coverage on top </w:t>
      </w:r>
      <w:r>
        <w:rPr>
          <w:rFonts w:ascii="" w:hAnsi="" w:eastAsia=""/>
          <w:b w:val="0"/>
          <w:i w:val="0"/>
          <w:color w:val="1A1A1A"/>
          <w:sz w:val="22"/>
        </w:rPr>
        <w:t xml:space="preserve">of IHS access, not replace it. Third, the newly released 2020–2024 ACS 5-year PUMS provides the </w:t>
      </w:r>
      <w:r>
        <w:rPr>
          <w:rFonts w:ascii="" w:hAnsi="" w:eastAsia=""/>
          <w:b w:val="0"/>
          <w:i w:val="0"/>
          <w:color w:val="1A1A1A"/>
          <w:sz w:val="22"/>
        </w:rPr>
        <w:t>first opportunity to observe IHS access reporting in the post-pandemic, post-late-expansion period.</w:t>
      </w:r>
    </w:p>
    <w:p>
      <w:pPr>
        <w:autoSpaceDN w:val="0"/>
        <w:autoSpaceDE w:val="0"/>
        <w:widowControl/>
        <w:spacing w:line="290" w:lineRule="exact" w:before="876" w:after="0"/>
        <w:ind w:left="28" w:right="0" w:firstLine="0"/>
        <w:jc w:val="left"/>
      </w:pPr>
      <w:r>
        <w:rPr>
          <w:rFonts w:ascii="" w:hAnsi="" w:eastAsia=""/>
          <w:b/>
          <w:i w:val="0"/>
          <w:color w:val="1A7A6E"/>
          <w:sz w:val="26"/>
        </w:rPr>
        <w:t>Methodology and Data Sources</w:t>
      </w:r>
    </w:p>
    <w:p>
      <w:pPr>
        <w:autoSpaceDN w:val="0"/>
        <w:autoSpaceDE w:val="0"/>
        <w:widowControl/>
        <w:spacing w:line="246" w:lineRule="exact" w:before="350" w:after="0"/>
        <w:ind w:left="28" w:right="0" w:firstLine="0"/>
        <w:jc w:val="left"/>
      </w:pPr>
      <w:r>
        <w:rPr>
          <w:rFonts w:ascii="" w:hAnsi="" w:eastAsia=""/>
          <w:b/>
          <w:i w:val="0"/>
          <w:color w:val="1A1A1A"/>
          <w:sz w:val="22"/>
        </w:rPr>
        <w:t>The HINS7 Variable</w:t>
      </w:r>
    </w:p>
    <w:p>
      <w:pPr>
        <w:autoSpaceDN w:val="0"/>
        <w:autoSpaceDE w:val="0"/>
        <w:widowControl/>
        <w:spacing w:line="304" w:lineRule="exact" w:before="46" w:after="0"/>
        <w:ind w:left="28" w:right="0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The ACS health insurance question (HINS7) was introduced in 2008 and asks whether the </w:t>
      </w:r>
      <w:r>
        <w:rPr>
          <w:rFonts w:ascii="" w:hAnsi="" w:eastAsia=""/>
          <w:b w:val="0"/>
          <w:i w:val="0"/>
          <w:color w:val="1A1A1A"/>
          <w:sz w:val="22"/>
        </w:rPr>
        <w:t xml:space="preserve">respondent is covered by Indian Health Service. Importantly, IHS coverage is not counted as health </w:t>
      </w:r>
      <w:r>
        <w:rPr>
          <w:rFonts w:ascii="" w:hAnsi="" w:eastAsia=""/>
          <w:b w:val="0"/>
          <w:i w:val="0"/>
          <w:color w:val="1A1A1A"/>
          <w:sz w:val="22"/>
        </w:rPr>
        <w:t xml:space="preserve">insurance under the Census definition — persons with only HINS7 coverage are classified as </w:t>
      </w:r>
      <w:r>
        <w:rPr>
          <w:rFonts w:ascii="" w:hAnsi="" w:eastAsia=""/>
          <w:b w:val="0"/>
          <w:i w:val="0"/>
          <w:color w:val="1A1A1A"/>
          <w:sz w:val="22"/>
        </w:rPr>
        <w:t xml:space="preserve">uninsured. This makes HINS7 a distinct, standalone measure of IHS access separate from the </w:t>
      </w:r>
      <w:r>
        <w:rPr>
          <w:rFonts w:ascii="" w:hAnsi="" w:eastAsia=""/>
          <w:b w:val="0"/>
          <w:i w:val="0"/>
          <w:color w:val="1A1A1A"/>
          <w:sz w:val="22"/>
        </w:rPr>
        <w:t>standard insurance coverage recode (HICOV).</w:t>
      </w:r>
    </w:p>
    <w:p>
      <w:pPr>
        <w:autoSpaceDN w:val="0"/>
        <w:autoSpaceDE w:val="0"/>
        <w:widowControl/>
        <w:spacing w:line="252" w:lineRule="exact" w:before="548" w:after="0"/>
        <w:ind w:left="234" w:right="864" w:firstLine="0"/>
        <w:jc w:val="left"/>
      </w:pPr>
      <w:r>
        <w:rPr>
          <w:rFonts w:ascii="" w:hAnsi="" w:eastAsia=""/>
          <w:b w:val="0"/>
          <w:i/>
          <w:color w:val="1A1A1A"/>
          <w:sz w:val="21"/>
        </w:rPr>
        <w:t xml:space="preserve">MEASUREMENT CAVEAT: HINS7 IS A FLOOR ESTIMATE </w:t>
      </w:r>
      <w:r>
        <w:br/>
      </w:r>
      <w:r>
        <w:rPr>
          <w:rFonts w:ascii="" w:hAnsi="" w:eastAsia=""/>
          <w:b w:val="0"/>
          <w:i/>
          <w:color w:val="1A1A1A"/>
          <w:sz w:val="21"/>
        </w:rPr>
        <w:t xml:space="preserve">The Bhaskar et al. (2018) linkage study found a ~25% false-negative rate for IHS coverage in </w:t>
      </w:r>
      <w:r>
        <w:rPr>
          <w:rFonts w:ascii="" w:hAnsi="" w:eastAsia=""/>
          <w:b w:val="0"/>
          <w:i/>
          <w:color w:val="1A1A1A"/>
          <w:sz w:val="21"/>
        </w:rPr>
        <w:t xml:space="preserve">the 2014 ACS — meaning roughly 1 in 4 active IHS users did not report IHS access on the </w:t>
      </w:r>
      <w:r>
        <w:rPr>
          <w:rFonts w:ascii="" w:hAnsi="" w:eastAsia=""/>
          <w:b w:val="0"/>
          <w:i/>
          <w:color w:val="1A1A1A"/>
          <w:sz w:val="21"/>
        </w:rPr>
        <w:t xml:space="preserve">survey. Additionally, the IPUMS logical edit removes IHS coverage for anyone who does not </w:t>
      </w:r>
      <w:r>
        <w:rPr>
          <w:rFonts w:ascii="" w:hAnsi="" w:eastAsia=""/>
          <w:b w:val="0"/>
          <w:i/>
          <w:color w:val="1A1A1A"/>
          <w:sz w:val="21"/>
        </w:rPr>
        <w:t xml:space="preserve">identify as AIAN alone (excluding multiracial respondents). Both factors mean HINS7-based </w:t>
      </w:r>
      <w:r>
        <w:rPr>
          <w:rFonts w:ascii="" w:hAnsi="" w:eastAsia=""/>
          <w:b w:val="0"/>
          <w:i/>
          <w:color w:val="1A1A1A"/>
          <w:sz w:val="21"/>
        </w:rPr>
        <w:t xml:space="preserve">counts systematically undercount the true IHS-access population. Trends over time are more </w:t>
      </w:r>
      <w:r>
        <w:rPr>
          <w:rFonts w:ascii="" w:hAnsi="" w:eastAsia=""/>
          <w:b w:val="0"/>
          <w:i/>
          <w:color w:val="1A1A1A"/>
          <w:sz w:val="21"/>
        </w:rPr>
        <w:t>reliable than point estimates, assuming the undercount rate is roughly stable.</w:t>
      </w:r>
    </w:p>
    <w:p>
      <w:pPr>
        <w:autoSpaceDN w:val="0"/>
        <w:autoSpaceDE w:val="0"/>
        <w:widowControl/>
        <w:spacing w:line="248" w:lineRule="exact" w:before="748" w:after="0"/>
        <w:ind w:left="28" w:right="0" w:firstLine="0"/>
        <w:jc w:val="left"/>
      </w:pPr>
      <w:r>
        <w:rPr>
          <w:rFonts w:ascii="" w:hAnsi="" w:eastAsia=""/>
          <w:b/>
          <w:i w:val="0"/>
          <w:color w:val="1A1A1A"/>
          <w:sz w:val="22"/>
        </w:rPr>
        <w:t>Analysis Design: Four Non-Overlapping 5-Year Windows</w:t>
      </w:r>
    </w:p>
    <w:p>
      <w:pPr>
        <w:autoSpaceDN w:val="0"/>
        <w:autoSpaceDE w:val="0"/>
        <w:widowControl/>
        <w:spacing w:line="304" w:lineRule="exact" w:before="50" w:after="0"/>
        <w:ind w:left="28" w:right="144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To track change from 2010 to 2024, the analysis uses four non-overlapping ACS 5-year </w:t>
      </w:r>
      <w:r>
        <w:rPr>
          <w:rFonts w:ascii="" w:hAnsi="" w:eastAsia=""/>
          <w:b w:val="0"/>
          <w:i w:val="0"/>
          <w:color w:val="1A1A1A"/>
          <w:sz w:val="22"/>
        </w:rPr>
        <w:t xml:space="preserve">PUMS datasets. Note: The 2019–2023 PUMS (used in prior Fox analyses) overlaps with both the </w:t>
      </w:r>
      <w:r>
        <w:rPr>
          <w:rFonts w:ascii="" w:hAnsi="" w:eastAsia=""/>
          <w:b w:val="0"/>
          <w:i w:val="0"/>
          <w:color w:val="1A1A1A"/>
          <w:sz w:val="22"/>
        </w:rPr>
        <w:t>2015–2019 and 2020–2024 windows and is not included in this four-period design to avoid double-</w:t>
      </w:r>
      <w:r>
        <w:rPr>
          <w:rFonts w:ascii="" w:hAnsi="" w:eastAsia=""/>
          <w:b w:val="0"/>
          <w:i w:val="0"/>
          <w:color w:val="1A1A1A"/>
          <w:sz w:val="22"/>
        </w:rPr>
        <w:t xml:space="preserve">counting years. However, the 2019–2023 national estimate (1,937,687 AIAN with HINS7=Yes; </w:t>
      </w:r>
      <w:r>
        <w:rPr>
          <w:rFonts w:ascii="" w:hAnsi="" w:eastAsia=""/>
          <w:b w:val="0"/>
          <w:i w:val="0"/>
          <w:color w:val="1A1A1A"/>
          <w:sz w:val="22"/>
        </w:rPr>
        <w:t>77.3% insured rate) from prior work is available as an interpolation anchor.</w:t>
      </w:r>
    </w:p>
    <w:p>
      <w:pPr>
        <w:autoSpaceDN w:val="0"/>
        <w:autoSpaceDE w:val="0"/>
        <w:widowControl/>
        <w:spacing w:line="224" w:lineRule="exact" w:before="406" w:after="96"/>
        <w:ind w:left="28" w:right="0" w:firstLine="0"/>
        <w:jc w:val="left"/>
      </w:pPr>
      <w:r>
        <w:rPr>
          <w:rFonts w:ascii="" w:hAnsi="" w:eastAsia=""/>
          <w:b/>
          <w:i w:val="0"/>
          <w:color w:val="1A7A6E"/>
          <w:sz w:val="20"/>
        </w:rPr>
        <w:t>Table 1.  Four Non-Overlapping 5-Year PUMS Windows for Longitudinal HINS7 Analysis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.999999999999943" w:type="dxa"/>
      </w:tblPr>
      <w:tblGrid>
        <w:gridCol w:w="1964"/>
        <w:gridCol w:w="1964"/>
        <w:gridCol w:w="1964"/>
        <w:gridCol w:w="1964"/>
        <w:gridCol w:w="1964"/>
      </w:tblGrid>
      <w:tr>
        <w:trPr>
          <w:trHeight w:hRule="atLeast" w:val="622"/>
        </w:trPr>
        <w:tc>
          <w:tcPr>
            <w:tcW w:type="dxa" w:w="1800"/>
            <w:tcBorders>
              <w:start w:sz="1.6000000000000227" w:val="single" w:color="#CCCCCC"/>
              <w:top w:sz="2.4000000000005457" w:val="single" w:color="#CCCCCC"/>
              <w:end w:sz="1.599999999999909" w:val="single" w:color="#CCCCCC"/>
              <w:bottom w:sz="2.399999999999636" w:val="single" w:color="#CCCCCC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exact" w:before="74" w:after="0"/>
              <w:ind w:left="120" w:right="288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 xml:space="preserve">5-Year PUMS </w:t>
            </w: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Period</w:t>
            </w:r>
          </w:p>
        </w:tc>
        <w:tc>
          <w:tcPr>
            <w:tcW w:type="dxa" w:w="2160"/>
            <w:tcBorders>
              <w:start w:sz="1.599999999999909" w:val="single" w:color="#CCCCCC"/>
              <w:top w:sz="2.4000000000005457" w:val="single" w:color="#CCCCCC"/>
              <w:end w:sz="1.6000000000003638" w:val="single" w:color="#CCCCCC"/>
              <w:bottom w:sz="2.399999999999636" w:val="single" w:color="#CCCCCC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194" w:after="0"/>
              <w:ind w:left="120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Years Covered</w:t>
            </w:r>
          </w:p>
        </w:tc>
        <w:tc>
          <w:tcPr>
            <w:tcW w:type="dxa" w:w="1440"/>
            <w:tcBorders>
              <w:start w:sz="1.6000000000003638" w:val="single" w:color="#CCCCCC"/>
              <w:top w:sz="2.4000000000005457" w:val="single" w:color="#CCCCCC"/>
              <w:end w:sz="1.6000000000003638" w:val="single" w:color="#CCCCCC"/>
              <w:bottom w:sz="2.399999999999636" w:val="single" w:color="#CCCCCC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exact" w:before="74" w:after="0"/>
              <w:ind w:left="120" w:right="288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 xml:space="preserve">Midpoint </w:t>
            </w: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Year</w:t>
            </w:r>
          </w:p>
        </w:tc>
        <w:tc>
          <w:tcPr>
            <w:tcW w:type="dxa" w:w="1560"/>
            <w:tcBorders>
              <w:start w:sz="1.6000000000003638" w:val="single" w:color="#CCCCCC"/>
              <w:top w:sz="2.4000000000005457" w:val="single" w:color="#CCCCCC"/>
              <w:end w:sz="1.6000000000003638" w:val="single" w:color="#CCCCCC"/>
              <w:bottom w:sz="2.399999999999636" w:val="single" w:color="#CCCCCC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194" w:after="0"/>
              <w:ind w:left="120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Status</w:t>
            </w:r>
          </w:p>
        </w:tc>
        <w:tc>
          <w:tcPr>
            <w:tcW w:type="dxa" w:w="2400"/>
            <w:tcBorders>
              <w:start w:sz="1.6000000000003638" w:val="single" w:color="#CCCCCC"/>
              <w:top w:sz="2.4000000000005457" w:val="single" w:color="#CCCCCC"/>
              <w:end w:sz="1.6000000000003638" w:val="single" w:color="#CCCCCC"/>
              <w:bottom w:sz="2.399999999999636" w:val="single" w:color="#CCCCCC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0" w:lineRule="exact" w:before="74" w:after="0"/>
              <w:ind w:left="120" w:right="72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 xml:space="preserve">Primary Policy </w:t>
            </w: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Context</w:t>
            </w:r>
          </w:p>
        </w:tc>
      </w:tr>
      <w:tr>
        <w:trPr>
          <w:trHeight w:hRule="atLeast" w:val="390"/>
        </w:trPr>
        <w:tc>
          <w:tcPr>
            <w:tcW w:type="dxa" w:w="1800"/>
            <w:tcBorders>
              <w:start w:sz="1.6000000000000227" w:val="single" w:color="#CCCCCC"/>
              <w:top w:sz="2.399999999999636" w:val="single" w:color="#CCCCCC"/>
              <w:end w:sz="1.599999999999909" w:val="single" w:color="#CCCCCC"/>
              <w:bottom w:sz="1.6000000000003638" w:val="single" w:color="#CCCC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84" w:after="0"/>
              <w:ind w:left="12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2008–2012</w:t>
            </w:r>
          </w:p>
        </w:tc>
        <w:tc>
          <w:tcPr>
            <w:tcW w:type="dxa" w:w="2160"/>
            <w:tcBorders>
              <w:start w:sz="1.599999999999909" w:val="single" w:color="#CCCCCC"/>
              <w:top w:sz="2.399999999999636" w:val="single" w:color="#CCCCCC"/>
              <w:end w:sz="1.6000000000003638" w:val="single" w:color="#CCCCCC"/>
              <w:bottom w:sz="1.6000000000003638" w:val="single" w:color="#CCCC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84" w:after="0"/>
              <w:ind w:left="12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2008–2012</w:t>
            </w:r>
          </w:p>
        </w:tc>
        <w:tc>
          <w:tcPr>
            <w:tcW w:type="dxa" w:w="1440"/>
            <w:tcBorders>
              <w:start w:sz="1.6000000000003638" w:val="single" w:color="#CCCCCC"/>
              <w:top w:sz="2.399999999999636" w:val="single" w:color="#CCCCCC"/>
              <w:end w:sz="1.6000000000003638" w:val="single" w:color="#CCCCCC"/>
              <w:bottom w:sz="1.6000000000003638" w:val="single" w:color="#CCCC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84" w:after="0"/>
              <w:ind w:left="12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2010</w:t>
            </w:r>
          </w:p>
        </w:tc>
        <w:tc>
          <w:tcPr>
            <w:tcW w:type="dxa" w:w="1560"/>
            <w:tcBorders>
              <w:start w:sz="1.6000000000003638" w:val="single" w:color="#CCCCCC"/>
              <w:top w:sz="2.399999999999636" w:val="single" w:color="#CCCCCC"/>
              <w:end w:sz="1.6000000000003638" w:val="single" w:color="#CCCCCC"/>
              <w:bottom w:sz="1.6000000000003638" w:val="single" w:color="#CCCC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84" w:after="0"/>
              <w:ind w:left="12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Available</w:t>
            </w:r>
          </w:p>
        </w:tc>
        <w:tc>
          <w:tcPr>
            <w:tcW w:type="dxa" w:w="2400"/>
            <w:tcBorders>
              <w:start w:sz="1.6000000000003638" w:val="single" w:color="#CCCCCC"/>
              <w:top w:sz="2.399999999999636" w:val="single" w:color="#CCCCCC"/>
              <w:end w:sz="1.6000000000003638" w:val="single" w:color="#CCCCCC"/>
              <w:bottom w:sz="1.6000000000003638" w:val="single" w:color="#CCCCCC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84" w:after="0"/>
              <w:ind w:left="12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Pre-ACA baseline</w:t>
            </w:r>
          </w:p>
        </w:tc>
      </w:tr>
    </w:tbl>
    <w:p>
      <w:pPr>
        <w:autoSpaceDN w:val="0"/>
        <w:autoSpaceDE w:val="0"/>
        <w:widowControl/>
        <w:spacing w:line="12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3273"/>
        <w:gridCol w:w="3273"/>
        <w:gridCol w:w="3273"/>
      </w:tblGrid>
      <w:tr>
        <w:trPr>
          <w:trHeight w:hRule="atLeast" w:val="326"/>
        </w:trPr>
        <w:tc>
          <w:tcPr>
            <w:tcW w:type="dxa" w:w="6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168" w:after="0"/>
              <w:ind w:left="22" w:right="0" w:firstLine="0"/>
              <w:jc w:val="left"/>
            </w:pPr>
            <w:r>
              <w:rPr>
                <w:w w:val="98.99999499320984"/>
                <w:rFonts w:ascii="" w:hAnsi="" w:eastAsia=""/>
                <w:b w:val="0"/>
                <w:i w:val="0"/>
                <w:color w:val="888888"/>
                <w:sz w:val="16"/>
              </w:rPr>
              <w:t xml:space="preserve">Indian Health Financing Series — Working Paper </w:t>
            </w:r>
          </w:p>
        </w:tc>
        <w:tc>
          <w:tcPr>
            <w:tcW w:type="dxa" w:w="34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168" w:after="0"/>
              <w:ind w:left="0" w:right="118" w:firstLine="0"/>
              <w:jc w:val="right"/>
            </w:pPr>
            <w:r>
              <w:rPr>
                <w:w w:val="98.99999499320984"/>
                <w:rFonts w:ascii="" w:hAnsi="" w:eastAsia=""/>
                <w:b w:val="0"/>
                <w:i w:val="0"/>
                <w:color w:val="888888"/>
                <w:sz w:val="16"/>
              </w:rPr>
              <w:t>March 2026</w:t>
            </w:r>
          </w:p>
        </w:tc>
        <w:tc>
          <w:tcPr>
            <w:tcW w:type="dxa" w:w="3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8" w:firstLine="0"/>
              <w:jc w:val="righ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2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354" w:right="1188" w:bottom="356" w:left="123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34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-2199640</wp:posOffset>
            </wp:positionH>
            <wp:positionV relativeFrom="page">
              <wp:posOffset>-1057910</wp:posOffset>
            </wp:positionV>
            <wp:extent cx="12172950" cy="15753229"/>
            <wp:wrapNone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72950" cy="1575322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774700</wp:posOffset>
            </wp:positionH>
            <wp:positionV relativeFrom="page">
              <wp:posOffset>685800</wp:posOffset>
            </wp:positionV>
            <wp:extent cx="6223000" cy="8242300"/>
            <wp:wrapNone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82423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09"/>
        <w:gridCol w:w="4909"/>
      </w:tblGrid>
      <w:tr>
        <w:trPr>
          <w:trHeight w:hRule="atLeast" w:val="252"/>
        </w:trPr>
        <w:tc>
          <w:tcPr>
            <w:tcW w:type="dxa" w:w="6906"/>
            <w:tcBorders>
              <w:bottom w:sz="3.2000000000000455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28" w:right="0" w:firstLine="0"/>
              <w:jc w:val="left"/>
            </w:pPr>
            <w:r>
              <w:rPr>
                <w:w w:val="101.33333206176758"/>
                <w:rFonts w:ascii="" w:hAnsi="" w:eastAsia=""/>
                <w:b w:val="0"/>
                <w:i w:val="0"/>
                <w:color w:val="1A7A6E"/>
                <w:sz w:val="18"/>
              </w:rPr>
              <w:t>Change in the Share of AI/ANs Reporting IHS Access, 2010–2024</w:t>
            </w:r>
          </w:p>
        </w:tc>
        <w:tc>
          <w:tcPr>
            <w:tcW w:type="dxa" w:w="2872"/>
            <w:tcBorders>
              <w:bottom w:sz="3.2000000000000455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0" w:right="388" w:firstLine="0"/>
              <w:jc w:val="right"/>
            </w:pPr>
            <w:r>
              <w:rPr>
                <w:w w:val="101.33333206176758"/>
                <w:rFonts w:ascii="" w:hAnsi="" w:eastAsia=""/>
                <w:b w:val="0"/>
                <w:i w:val="0"/>
                <w:color w:val="888888"/>
                <w:sz w:val="18"/>
              </w:rPr>
              <w:t>Fox (2026)</w:t>
            </w:r>
          </w:p>
        </w:tc>
      </w:tr>
    </w:tbl>
    <w:p>
      <w:pPr>
        <w:autoSpaceDN w:val="0"/>
        <w:autoSpaceDE w:val="0"/>
        <w:widowControl/>
        <w:spacing w:line="226" w:lineRule="exact" w:before="206" w:after="2"/>
        <w:ind w:left="0" w:right="774" w:firstLine="0"/>
        <w:jc w:val="right"/>
      </w:pPr>
      <w:r>
        <w:rPr>
          <w:rFonts w:ascii="" w:hAnsi="" w:eastAsia=""/>
          <w:b w:val="0"/>
          <w:i w:val="0"/>
          <w:color w:val="1A1A1A"/>
          <w:sz w:val="20"/>
        </w:rPr>
        <w:t xml:space="preserve">ACA implementation;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5.99999999999994" w:type="dxa"/>
      </w:tblPr>
      <w:tblGrid>
        <w:gridCol w:w="1964"/>
        <w:gridCol w:w="1964"/>
        <w:gridCol w:w="1964"/>
        <w:gridCol w:w="1964"/>
        <w:gridCol w:w="1964"/>
      </w:tblGrid>
      <w:tr>
        <w:trPr>
          <w:trHeight w:hRule="atLeast" w:val="230"/>
        </w:trPr>
        <w:tc>
          <w:tcPr>
            <w:tcW w:type="dxa" w:w="14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" w:after="0"/>
              <w:ind w:left="8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2013–2017</w:t>
            </w:r>
          </w:p>
        </w:tc>
        <w:tc>
          <w:tcPr>
            <w:tcW w:type="dxa" w:w="1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" w:after="0"/>
              <w:ind w:left="40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2013–2017</w:t>
            </w:r>
          </w:p>
        </w:tc>
        <w:tc>
          <w:tcPr>
            <w:tcW w:type="dxa" w:w="15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" w:after="0"/>
              <w:ind w:left="0" w:right="492" w:firstLine="0"/>
              <w:jc w:val="righ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2015</w:t>
            </w:r>
          </w:p>
        </w:tc>
        <w:tc>
          <w:tcPr>
            <w:tcW w:type="dxa" w:w="16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" w:after="0"/>
              <w:ind w:left="0" w:right="366" w:firstLine="0"/>
              <w:jc w:val="righ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Available</w:t>
            </w:r>
          </w:p>
        </w:tc>
        <w:tc>
          <w:tcPr>
            <w:tcW w:type="dxa" w:w="24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" w:after="0"/>
              <w:ind w:left="38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 xml:space="preserve">early Medicaid </w:t>
            </w:r>
          </w:p>
        </w:tc>
      </w:tr>
    </w:tbl>
    <w:p>
      <w:pPr>
        <w:autoSpaceDN w:val="0"/>
        <w:autoSpaceDE w:val="0"/>
        <w:widowControl/>
        <w:spacing w:line="224" w:lineRule="exact" w:before="4" w:after="104"/>
        <w:ind w:left="0" w:right="1798" w:firstLine="0"/>
        <w:jc w:val="right"/>
      </w:pPr>
      <w:r>
        <w:rPr>
          <w:rFonts w:ascii="" w:hAnsi="" w:eastAsia=""/>
          <w:b w:val="0"/>
          <w:i w:val="0"/>
          <w:color w:val="1A1A1A"/>
          <w:sz w:val="20"/>
        </w:rPr>
        <w:t>expansion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5.99999999999994" w:type="dxa"/>
      </w:tblPr>
      <w:tblGrid>
        <w:gridCol w:w="1964"/>
        <w:gridCol w:w="1964"/>
        <w:gridCol w:w="1964"/>
        <w:gridCol w:w="1964"/>
        <w:gridCol w:w="1964"/>
      </w:tblGrid>
      <w:tr>
        <w:trPr>
          <w:trHeight w:hRule="atLeast" w:val="284"/>
        </w:trPr>
        <w:tc>
          <w:tcPr>
            <w:tcW w:type="dxa" w:w="14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76" w:after="0"/>
              <w:ind w:left="8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2015–2019</w:t>
            </w:r>
          </w:p>
        </w:tc>
        <w:tc>
          <w:tcPr>
            <w:tcW w:type="dxa" w:w="19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76" w:after="0"/>
              <w:ind w:left="40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2015–2019</w:t>
            </w:r>
          </w:p>
        </w:tc>
        <w:tc>
          <w:tcPr>
            <w:tcW w:type="dxa" w:w="15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76" w:after="0"/>
              <w:ind w:left="0" w:right="492" w:firstLine="0"/>
              <w:jc w:val="righ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2017</w:t>
            </w:r>
          </w:p>
        </w:tc>
        <w:tc>
          <w:tcPr>
            <w:tcW w:type="dxa" w:w="19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76" w:after="0"/>
              <w:ind w:left="0" w:right="606" w:firstLine="0"/>
              <w:jc w:val="righ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Available</w:t>
            </w:r>
          </w:p>
        </w:tc>
        <w:tc>
          <w:tcPr>
            <w:tcW w:type="dxa" w:w="25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58" w:after="0"/>
              <w:ind w:left="14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ACA consolidation; pre-</w:t>
            </w:r>
          </w:p>
        </w:tc>
      </w:tr>
      <w:tr>
        <w:trPr>
          <w:trHeight w:hRule="atLeast" w:val="300"/>
        </w:trPr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25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6" w:after="0"/>
              <w:ind w:left="14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pandemic</w:t>
            </w:r>
          </w:p>
        </w:tc>
      </w:tr>
      <w:tr>
        <w:trPr>
          <w:trHeight w:hRule="atLeast" w:val="328"/>
        </w:trPr>
        <w:tc>
          <w:tcPr>
            <w:tcW w:type="dxa" w:w="14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330" w:after="0"/>
              <w:ind w:left="8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2020–2024</w:t>
            </w:r>
          </w:p>
        </w:tc>
        <w:tc>
          <w:tcPr>
            <w:tcW w:type="dxa" w:w="19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330" w:after="0"/>
              <w:ind w:left="40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2020–2024</w:t>
            </w:r>
          </w:p>
        </w:tc>
        <w:tc>
          <w:tcPr>
            <w:tcW w:type="dxa" w:w="15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330" w:after="0"/>
              <w:ind w:left="0" w:right="492" w:firstLine="0"/>
              <w:jc w:val="righ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2022</w:t>
            </w:r>
          </w:p>
        </w:tc>
        <w:tc>
          <w:tcPr>
            <w:tcW w:type="dxa" w:w="19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16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 xml:space="preserve">Released </w:t>
            </w:r>
          </w:p>
        </w:tc>
        <w:tc>
          <w:tcPr>
            <w:tcW w:type="dxa" w:w="25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100" w:after="0"/>
              <w:ind w:left="14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 xml:space="preserve">Post-pandemic; late </w:t>
            </w:r>
          </w:p>
        </w:tc>
      </w:tr>
      <w:tr>
        <w:trPr>
          <w:trHeight w:hRule="atLeast" w:val="112"/>
        </w:trPr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25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0" w:after="0"/>
              <w:ind w:left="14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 xml:space="preserve">Medicaid expansion </w:t>
            </w:r>
          </w:p>
        </w:tc>
      </w:tr>
      <w:tr>
        <w:trPr>
          <w:trHeight w:hRule="atLeast" w:val="100"/>
        </w:trPr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" w:after="0"/>
              <w:ind w:left="0" w:right="138" w:firstLine="0"/>
              <w:jc w:val="righ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March 5, 2026</w:t>
            </w:r>
          </w:p>
        </w:tc>
        <w:tc>
          <w:tcPr>
            <w:tcW w:type="dxa" w:w="1964"/>
            <w:vMerge/>
            <w:tcBorders/>
          </w:tcPr>
          <w:p/>
        </w:tc>
      </w:tr>
      <w:tr>
        <w:trPr>
          <w:trHeight w:hRule="atLeast" w:val="306"/>
        </w:trPr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25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" w:after="0"/>
              <w:ind w:left="14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states</w:t>
            </w:r>
          </w:p>
        </w:tc>
      </w:tr>
    </w:tbl>
    <w:p>
      <w:pPr>
        <w:autoSpaceDN w:val="0"/>
        <w:autoSpaceDE w:val="0"/>
        <w:widowControl/>
        <w:spacing w:line="246" w:lineRule="exact" w:before="658" w:after="0"/>
        <w:ind w:left="28" w:right="0" w:firstLine="0"/>
        <w:jc w:val="left"/>
      </w:pPr>
      <w:r>
        <w:rPr>
          <w:rFonts w:ascii="" w:hAnsi="" w:eastAsia=""/>
          <w:b/>
          <w:i w:val="0"/>
          <w:color w:val="1A1A1A"/>
          <w:sz w:val="22"/>
        </w:rPr>
        <w:t>Computation</w:t>
      </w:r>
    </w:p>
    <w:p>
      <w:pPr>
        <w:autoSpaceDN w:val="0"/>
        <w:autoSpaceDE w:val="0"/>
        <w:widowControl/>
        <w:spacing w:line="302" w:lineRule="exact" w:before="54" w:after="0"/>
        <w:ind w:left="28" w:right="288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For each 5-year PUMS, the core calculation estimates the percentage of AI/ANs reporting </w:t>
      </w:r>
      <w:r>
        <w:rPr>
          <w:rFonts w:ascii="" w:hAnsi="" w:eastAsia=""/>
          <w:b w:val="0"/>
          <w:i w:val="0"/>
          <w:color w:val="1A1A1A"/>
          <w:sz w:val="22"/>
        </w:rPr>
        <w:t xml:space="preserve">IHS access. All estimates use person-level weights (PWGTP). AIAN identity is defined as </w:t>
      </w:r>
      <w:r>
        <w:rPr>
          <w:rFonts w:ascii="" w:hAnsi="" w:eastAsia=""/>
          <w:b w:val="0"/>
          <w:i w:val="0"/>
          <w:color w:val="1A1A1A"/>
          <w:sz w:val="22"/>
        </w:rPr>
        <w:t xml:space="preserve">RACAIAN=1 (alone or in combination) for the denominator; the HINS7 numerator uses the same </w:t>
      </w:r>
      <w:r>
        <w:rPr>
          <w:rFonts w:ascii="" w:hAnsi="" w:eastAsia=""/>
          <w:b w:val="0"/>
          <w:i w:val="0"/>
          <w:color w:val="1A1A1A"/>
          <w:sz w:val="22"/>
        </w:rPr>
        <w:t>universe.</w:t>
      </w:r>
    </w:p>
    <w:p>
      <w:pPr>
        <w:autoSpaceDN w:val="0"/>
        <w:autoSpaceDE w:val="0"/>
        <w:widowControl/>
        <w:spacing w:line="224" w:lineRule="exact" w:before="410" w:after="124"/>
        <w:ind w:left="28" w:right="0" w:firstLine="0"/>
        <w:jc w:val="left"/>
      </w:pPr>
      <w:r>
        <w:rPr>
          <w:rFonts w:ascii="" w:hAnsi="" w:eastAsia=""/>
          <w:b/>
          <w:i w:val="0"/>
          <w:color w:val="1A7A6E"/>
          <w:sz w:val="20"/>
        </w:rPr>
        <w:t>Table 2.  Core Computation for Each PUMS Period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5.99999999999994" w:type="dxa"/>
      </w:tblPr>
      <w:tblGrid>
        <w:gridCol w:w="3273"/>
        <w:gridCol w:w="3273"/>
        <w:gridCol w:w="3273"/>
      </w:tblGrid>
      <w:tr>
        <w:trPr>
          <w:trHeight w:hRule="atLeast" w:val="350"/>
        </w:trPr>
        <w:tc>
          <w:tcPr>
            <w:tcW w:type="dxa" w:w="32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82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Numerator</w:t>
            </w:r>
          </w:p>
        </w:tc>
        <w:tc>
          <w:tcPr>
            <w:tcW w:type="dxa" w:w="3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342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Denominator</w:t>
            </w:r>
          </w:p>
        </w:tc>
        <w:tc>
          <w:tcPr>
            <w:tcW w:type="dxa" w:w="25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202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Result</w:t>
            </w:r>
          </w:p>
        </w:tc>
      </w:tr>
      <w:tr>
        <w:trPr>
          <w:trHeight w:hRule="atLeast" w:val="320"/>
        </w:trPr>
        <w:tc>
          <w:tcPr>
            <w:tcW w:type="dxa" w:w="32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96" w:after="0"/>
              <w:ind w:left="8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 xml:space="preserve">AIAN persons with HINS7=Yes </w:t>
            </w:r>
          </w:p>
        </w:tc>
        <w:tc>
          <w:tcPr>
            <w:tcW w:type="dxa" w:w="3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96" w:after="0"/>
              <w:ind w:left="34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 xml:space="preserve">Total AIAN persons (RACAIAN=1, </w:t>
            </w:r>
          </w:p>
        </w:tc>
        <w:tc>
          <w:tcPr>
            <w:tcW w:type="dxa" w:w="25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96" w:after="0"/>
              <w:ind w:left="20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 xml:space="preserve">% of AI/ANs reporting </w:t>
            </w:r>
          </w:p>
        </w:tc>
      </w:tr>
      <w:tr>
        <w:trPr>
          <w:trHeight w:hRule="atLeast" w:val="298"/>
        </w:trPr>
        <w:tc>
          <w:tcPr>
            <w:tcW w:type="dxa" w:w="32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4" w:after="0"/>
              <w:ind w:left="8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(weighted)</w:t>
            </w:r>
          </w:p>
        </w:tc>
        <w:tc>
          <w:tcPr>
            <w:tcW w:type="dxa" w:w="3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4" w:after="0"/>
              <w:ind w:left="34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alone or in combination)</w:t>
            </w:r>
          </w:p>
        </w:tc>
        <w:tc>
          <w:tcPr>
            <w:tcW w:type="dxa" w:w="25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4" w:after="0"/>
              <w:ind w:left="20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IHS access</w:t>
            </w:r>
          </w:p>
        </w:tc>
      </w:tr>
    </w:tbl>
    <w:p>
      <w:pPr>
        <w:autoSpaceDN w:val="0"/>
        <w:autoSpaceDE w:val="0"/>
        <w:widowControl/>
        <w:spacing w:line="290" w:lineRule="exact" w:before="782" w:after="0"/>
        <w:ind w:left="28" w:right="0" w:firstLine="0"/>
        <w:jc w:val="left"/>
      </w:pPr>
      <w:r>
        <w:rPr>
          <w:rFonts w:ascii="" w:hAnsi="" w:eastAsia=""/>
          <w:b/>
          <w:i w:val="0"/>
          <w:color w:val="1A7A6E"/>
          <w:sz w:val="26"/>
        </w:rPr>
        <w:t>What Published Sources Already Tell Us</w:t>
      </w:r>
    </w:p>
    <w:p>
      <w:pPr>
        <w:autoSpaceDN w:val="0"/>
        <w:autoSpaceDE w:val="0"/>
        <w:widowControl/>
        <w:spacing w:line="246" w:lineRule="exact" w:before="350" w:after="0"/>
        <w:ind w:left="28" w:right="0" w:firstLine="0"/>
        <w:jc w:val="left"/>
      </w:pPr>
      <w:r>
        <w:rPr>
          <w:rFonts w:ascii="" w:hAnsi="" w:eastAsia=""/>
          <w:b/>
          <w:i w:val="0"/>
          <w:color w:val="1A1A1A"/>
          <w:sz w:val="22"/>
        </w:rPr>
        <w:t>National IHS Service Population (Administrative Data)</w:t>
      </w:r>
    </w:p>
    <w:p>
      <w:pPr>
        <w:autoSpaceDN w:val="0"/>
        <w:autoSpaceDE w:val="0"/>
        <w:widowControl/>
        <w:spacing w:line="304" w:lineRule="exact" w:before="46" w:after="0"/>
        <w:ind w:left="28" w:right="144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IHS administrative data provides a parallel trend line, though measuring a different concept </w:t>
      </w:r>
      <w:r>
        <w:rPr>
          <w:rFonts w:ascii="" w:hAnsi="" w:eastAsia=""/>
          <w:b w:val="0"/>
          <w:i w:val="0"/>
          <w:color w:val="1A1A1A"/>
          <w:sz w:val="22"/>
        </w:rPr>
        <w:t xml:space="preserve">(registered patients, not self-reported access). The administrative figures count all registered IHS </w:t>
      </w:r>
      <w:r>
        <w:rPr>
          <w:rFonts w:ascii="" w:hAnsi="" w:eastAsia=""/>
          <w:b w:val="0"/>
          <w:i w:val="0"/>
          <w:color w:val="1A1A1A"/>
          <w:sz w:val="22"/>
        </w:rPr>
        <w:t xml:space="preserve">users, regardless of ACS survey response. The ACS HINS7 self-report measure will be lower due </w:t>
      </w:r>
      <w:r>
        <w:rPr>
          <w:rFonts w:ascii="" w:hAnsi="" w:eastAsia=""/>
          <w:b w:val="0"/>
          <w:i w:val="0"/>
          <w:color w:val="1A1A1A"/>
          <w:sz w:val="22"/>
        </w:rPr>
        <w:t>to the ~25% false-negative rate documented by Bhaskar et al.</w:t>
      </w:r>
    </w:p>
    <w:p>
      <w:pPr>
        <w:autoSpaceDN w:val="0"/>
        <w:autoSpaceDE w:val="0"/>
        <w:widowControl/>
        <w:spacing w:line="226" w:lineRule="exact" w:before="404" w:after="128"/>
        <w:ind w:left="28" w:right="0" w:firstLine="0"/>
        <w:jc w:val="left"/>
      </w:pPr>
      <w:r>
        <w:rPr>
          <w:rFonts w:ascii="" w:hAnsi="" w:eastAsia=""/>
          <w:b/>
          <w:i w:val="0"/>
          <w:color w:val="1A7A6E"/>
          <w:sz w:val="20"/>
        </w:rPr>
        <w:t>Table 3.  IHS Administrative User Population as Share of Total AIAN, Select Years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1636"/>
        <w:gridCol w:w="1636"/>
        <w:gridCol w:w="1636"/>
        <w:gridCol w:w="1636"/>
        <w:gridCol w:w="1636"/>
        <w:gridCol w:w="1636"/>
      </w:tblGrid>
      <w:tr>
        <w:trPr>
          <w:trHeight w:hRule="atLeast" w:val="274"/>
        </w:trPr>
        <w:tc>
          <w:tcPr>
            <w:tcW w:type="dxa" w:w="1126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174" w:after="0"/>
              <w:ind w:left="148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Year</w:t>
            </w:r>
          </w:p>
        </w:tc>
        <w:tc>
          <w:tcPr>
            <w:tcW w:type="dxa" w:w="26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58" w:after="0"/>
              <w:ind w:left="420" w:right="576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 xml:space="preserve">IHS User Pop. </w:t>
            </w: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(Administrative)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174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Total AIAN Pop.</w:t>
            </w:r>
          </w:p>
        </w:tc>
        <w:tc>
          <w:tcPr>
            <w:tcW w:type="dxa" w:w="14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50" w:after="0"/>
              <w:ind w:left="240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 xml:space="preserve">IHS % of </w:t>
            </w:r>
          </w:p>
        </w:tc>
        <w:tc>
          <w:tcPr>
            <w:tcW w:type="dxa" w:w="2272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174" w:after="0"/>
              <w:ind w:left="360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Source</w:t>
            </w:r>
          </w:p>
        </w:tc>
        <w:tc>
          <w:tcPr>
            <w:tcW w:type="dxa" w:w="388"/>
            <w:vMerge w:val="restart"/>
            <w:tcBorders>
              <w:bottom w:sz="3.199999999999818" w:val="single" w:color="#8B6914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320"/>
        </w:trPr>
        <w:tc>
          <w:tcPr>
            <w:tcW w:type="dxa" w:w="1636"/>
            <w:vMerge/>
            <w:tcBorders/>
          </w:tcPr>
          <w:p/>
        </w:tc>
        <w:tc>
          <w:tcPr>
            <w:tcW w:type="dxa" w:w="1636"/>
            <w:vMerge/>
            <w:tcBorders/>
          </w:tcPr>
          <w:p/>
        </w:tc>
        <w:tc>
          <w:tcPr>
            <w:tcW w:type="dxa" w:w="1636"/>
            <w:vMerge/>
            <w:tcBorders/>
          </w:tcPr>
          <w:p/>
        </w:tc>
        <w:tc>
          <w:tcPr>
            <w:tcW w:type="dxa" w:w="14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2" w:after="0"/>
              <w:ind w:left="240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AIAN</w:t>
            </w:r>
          </w:p>
        </w:tc>
        <w:tc>
          <w:tcPr>
            <w:tcW w:type="dxa" w:w="1636"/>
            <w:vMerge/>
            <w:tcBorders/>
          </w:tcPr>
          <w:p/>
        </w:tc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</w:tr>
      <w:tr>
        <w:trPr>
          <w:trHeight w:hRule="atLeast" w:val="300"/>
        </w:trPr>
        <w:tc>
          <w:tcPr>
            <w:tcW w:type="dxa" w:w="1126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0" w:after="0"/>
              <w:ind w:left="14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~2011</w:t>
            </w:r>
          </w:p>
        </w:tc>
        <w:tc>
          <w:tcPr>
            <w:tcW w:type="dxa" w:w="26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0" w:after="0"/>
              <w:ind w:left="42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~2.56 million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0" w:after="0"/>
              <w:ind w:left="20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~5.2 million</w:t>
            </w:r>
          </w:p>
        </w:tc>
        <w:tc>
          <w:tcPr>
            <w:tcW w:type="dxa" w:w="14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0" w:after="0"/>
              <w:ind w:left="24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~49%</w:t>
            </w:r>
          </w:p>
        </w:tc>
        <w:tc>
          <w:tcPr>
            <w:tcW w:type="dxa" w:w="2272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74" w:after="0"/>
              <w:ind w:left="36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 xml:space="preserve">IHS Disparities </w:t>
            </w:r>
          </w:p>
        </w:tc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</w:tr>
      <w:tr>
        <w:trPr>
          <w:trHeight w:hRule="atLeast" w:val="320"/>
        </w:trPr>
        <w:tc>
          <w:tcPr>
            <w:tcW w:type="dxa" w:w="1636"/>
            <w:vMerge/>
            <w:tcBorders/>
          </w:tcPr>
          <w:p/>
        </w:tc>
        <w:tc>
          <w:tcPr>
            <w:tcW w:type="dxa" w:w="1636"/>
            <w:vMerge/>
            <w:tcBorders/>
          </w:tcPr>
          <w:p/>
        </w:tc>
        <w:tc>
          <w:tcPr>
            <w:tcW w:type="dxa" w:w="1636"/>
            <w:vMerge/>
            <w:tcBorders/>
          </w:tcPr>
          <w:p/>
        </w:tc>
        <w:tc>
          <w:tcPr>
            <w:tcW w:type="dxa" w:w="1636"/>
            <w:vMerge/>
            <w:tcBorders/>
          </w:tcPr>
          <w:p/>
        </w:tc>
        <w:tc>
          <w:tcPr>
            <w:tcW w:type="dxa" w:w="2272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6" w:after="0"/>
              <w:ind w:left="36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Fact Sheet</w:t>
            </w:r>
          </w:p>
        </w:tc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</w:tr>
      <w:tr>
        <w:trPr>
          <w:trHeight w:hRule="atLeast" w:val="300"/>
        </w:trPr>
        <w:tc>
          <w:tcPr>
            <w:tcW w:type="dxa" w:w="1126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4" w:after="0"/>
              <w:ind w:left="14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~2014</w:t>
            </w:r>
          </w:p>
        </w:tc>
        <w:tc>
          <w:tcPr>
            <w:tcW w:type="dxa" w:w="26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4" w:after="0"/>
              <w:ind w:left="42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~2.2 million (est.)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4" w:after="0"/>
              <w:ind w:left="20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~5.4 million</w:t>
            </w:r>
          </w:p>
        </w:tc>
        <w:tc>
          <w:tcPr>
            <w:tcW w:type="dxa" w:w="14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4" w:after="0"/>
              <w:ind w:left="24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~41%</w:t>
            </w:r>
          </w:p>
        </w:tc>
        <w:tc>
          <w:tcPr>
            <w:tcW w:type="dxa" w:w="2272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74" w:after="0"/>
              <w:ind w:left="36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 xml:space="preserve">CARRA 2018 </w:t>
            </w:r>
          </w:p>
        </w:tc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</w:tr>
      <w:tr>
        <w:trPr>
          <w:trHeight w:hRule="atLeast" w:val="320"/>
        </w:trPr>
        <w:tc>
          <w:tcPr>
            <w:tcW w:type="dxa" w:w="1636"/>
            <w:vMerge/>
            <w:tcBorders/>
          </w:tcPr>
          <w:p/>
        </w:tc>
        <w:tc>
          <w:tcPr>
            <w:tcW w:type="dxa" w:w="1636"/>
            <w:vMerge/>
            <w:tcBorders/>
          </w:tcPr>
          <w:p/>
        </w:tc>
        <w:tc>
          <w:tcPr>
            <w:tcW w:type="dxa" w:w="1636"/>
            <w:vMerge/>
            <w:tcBorders/>
          </w:tcPr>
          <w:p/>
        </w:tc>
        <w:tc>
          <w:tcPr>
            <w:tcW w:type="dxa" w:w="1636"/>
            <w:vMerge/>
            <w:tcBorders/>
          </w:tcPr>
          <w:p/>
        </w:tc>
        <w:tc>
          <w:tcPr>
            <w:tcW w:type="dxa" w:w="2272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" w:after="0"/>
              <w:ind w:left="36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linkage estimate</w:t>
            </w:r>
          </w:p>
        </w:tc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</w:tr>
      <w:tr>
        <w:trPr>
          <w:trHeight w:hRule="atLeast" w:val="300"/>
        </w:trPr>
        <w:tc>
          <w:tcPr>
            <w:tcW w:type="dxa" w:w="1126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4" w:after="0"/>
              <w:ind w:left="14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~2020</w:t>
            </w:r>
          </w:p>
        </w:tc>
        <w:tc>
          <w:tcPr>
            <w:tcW w:type="dxa" w:w="26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4" w:after="0"/>
              <w:ind w:left="42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~2.56 million</w:t>
            </w:r>
          </w:p>
        </w:tc>
        <w:tc>
          <w:tcPr>
            <w:tcW w:type="dxa" w:w="19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4" w:after="0"/>
              <w:ind w:left="20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~5.9 million</w:t>
            </w:r>
          </w:p>
        </w:tc>
        <w:tc>
          <w:tcPr>
            <w:tcW w:type="dxa" w:w="14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4" w:after="0"/>
              <w:ind w:left="24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~43%</w:t>
            </w:r>
          </w:p>
        </w:tc>
        <w:tc>
          <w:tcPr>
            <w:tcW w:type="dxa" w:w="2272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74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 xml:space="preserve">Office of Minority </w:t>
            </w:r>
          </w:p>
        </w:tc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</w:tr>
      <w:tr>
        <w:trPr>
          <w:trHeight w:hRule="atLeast" w:val="320"/>
        </w:trPr>
        <w:tc>
          <w:tcPr>
            <w:tcW w:type="dxa" w:w="1636"/>
            <w:vMerge/>
            <w:tcBorders/>
          </w:tcPr>
          <w:p/>
        </w:tc>
        <w:tc>
          <w:tcPr>
            <w:tcW w:type="dxa" w:w="1636"/>
            <w:vMerge/>
            <w:tcBorders/>
          </w:tcPr>
          <w:p/>
        </w:tc>
        <w:tc>
          <w:tcPr>
            <w:tcW w:type="dxa" w:w="1636"/>
            <w:vMerge/>
            <w:tcBorders/>
          </w:tcPr>
          <w:p/>
        </w:tc>
        <w:tc>
          <w:tcPr>
            <w:tcW w:type="dxa" w:w="1636"/>
            <w:vMerge/>
            <w:tcBorders/>
          </w:tcPr>
          <w:p/>
        </w:tc>
        <w:tc>
          <w:tcPr>
            <w:tcW w:type="dxa" w:w="2272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18" w:after="0"/>
              <w:ind w:left="36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Health 2024</w:t>
            </w:r>
          </w:p>
        </w:tc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</w:tr>
      <w:tr>
        <w:trPr>
          <w:trHeight w:hRule="atLeast" w:val="320"/>
        </w:trPr>
        <w:tc>
          <w:tcPr>
            <w:tcW w:type="dxa" w:w="1126"/>
            <w:vMerge w:val="restart"/>
            <w:tcBorders>
              <w:bottom w:sz="3.199999999999818" w:val="single" w:color="#8B6914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8" w:after="0"/>
              <w:ind w:left="14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~2024</w:t>
            </w:r>
          </w:p>
        </w:tc>
        <w:tc>
          <w:tcPr>
            <w:tcW w:type="dxa" w:w="2620"/>
            <w:vMerge w:val="restart"/>
            <w:tcBorders>
              <w:bottom w:sz="3.199999999999818" w:val="single" w:color="#8B6914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8" w:after="0"/>
              <w:ind w:left="42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~2.6 million</w:t>
            </w:r>
          </w:p>
        </w:tc>
        <w:tc>
          <w:tcPr>
            <w:tcW w:type="dxa" w:w="1960"/>
            <w:vMerge w:val="restart"/>
            <w:tcBorders>
              <w:bottom w:sz="3.199999999999818" w:val="single" w:color="#8B6914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8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~6.0 million (est.)</w:t>
            </w:r>
          </w:p>
        </w:tc>
        <w:tc>
          <w:tcPr>
            <w:tcW w:type="dxa" w:w="1440"/>
            <w:vMerge w:val="restart"/>
            <w:tcBorders>
              <w:bottom w:sz="3.199999999999818" w:val="single" w:color="#8B6914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8" w:after="0"/>
              <w:ind w:left="24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~43%</w:t>
            </w:r>
          </w:p>
        </w:tc>
        <w:tc>
          <w:tcPr>
            <w:tcW w:type="dxa" w:w="2272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92" w:after="0"/>
              <w:ind w:left="36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 xml:space="preserve">IHS Division of </w:t>
            </w:r>
          </w:p>
        </w:tc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</w:tr>
      <w:tr>
        <w:trPr>
          <w:trHeight w:hRule="atLeast" w:val="1164"/>
        </w:trPr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  <w:tc>
          <w:tcPr>
            <w:tcW w:type="dxa" w:w="2272"/>
            <w:tcBorders>
              <w:bottom w:sz="3.199999999999818" w:val="single" w:color="#8B6914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Program Statistics</w:t>
            </w:r>
          </w:p>
        </w:tc>
        <w:tc>
          <w:tcPr>
            <w:tcW w:type="dxa" w:w="1636"/>
            <w:vMerge/>
            <w:tcBorders>
              <w:bottom w:sz="3.199999999999818" w:val="single" w:color="#8B6914"/>
            </w:tcBorders>
          </w:tcPr>
          <w:p/>
        </w:tc>
      </w:tr>
      <w:tr>
        <w:trPr>
          <w:trHeight w:hRule="atLeast" w:val="206"/>
        </w:trPr>
        <w:tc>
          <w:tcPr>
            <w:tcW w:type="dxa" w:w="3746"/>
            <w:gridSpan w:val="2"/>
            <w:tcBorders>
              <w:top w:sz="3.199999999999818" w:val="single" w:color="#8B6914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44" w:after="0"/>
              <w:ind w:left="28" w:right="0" w:firstLine="0"/>
              <w:jc w:val="left"/>
            </w:pPr>
            <w:r>
              <w:rPr>
                <w:w w:val="98.99999499320984"/>
                <w:rFonts w:ascii="" w:hAnsi="" w:eastAsia=""/>
                <w:b w:val="0"/>
                <w:i w:val="0"/>
                <w:color w:val="888888"/>
                <w:sz w:val="16"/>
              </w:rPr>
              <w:t xml:space="preserve">Indian Health Financing Series — Working Paper </w:t>
            </w:r>
          </w:p>
        </w:tc>
        <w:tc>
          <w:tcPr>
            <w:tcW w:type="dxa" w:w="1960"/>
            <w:tcBorders>
              <w:top w:sz="3.199999999999818" w:val="single" w:color="#8B6914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top w:sz="3.199999999999818" w:val="single" w:color="#8B6914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272"/>
            <w:tcBorders>
              <w:top w:sz="3.199999999999818" w:val="single" w:color="#8B6914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44" w:after="0"/>
              <w:ind w:left="0" w:right="30" w:firstLine="0"/>
              <w:jc w:val="right"/>
            </w:pPr>
            <w:r>
              <w:rPr>
                <w:w w:val="98.99999499320984"/>
                <w:rFonts w:ascii="" w:hAnsi="" w:eastAsia=""/>
                <w:b w:val="0"/>
                <w:i w:val="0"/>
                <w:color w:val="888888"/>
                <w:sz w:val="16"/>
              </w:rPr>
              <w:t>March 2026</w:t>
            </w:r>
          </w:p>
        </w:tc>
        <w:tc>
          <w:tcPr>
            <w:tcW w:type="dxa" w:w="388"/>
            <w:tcBorders>
              <w:top w:sz="3.199999999999818" w:val="single" w:color="#8B6914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0" w:after="0"/>
              <w:ind w:left="0" w:right="8" w:firstLine="0"/>
              <w:jc w:val="righ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3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354" w:right="1188" w:bottom="356" w:left="123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34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-2199640</wp:posOffset>
            </wp:positionH>
            <wp:positionV relativeFrom="page">
              <wp:posOffset>-1057910</wp:posOffset>
            </wp:positionV>
            <wp:extent cx="12172950" cy="15753229"/>
            <wp:wrapNone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72950" cy="1575322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774700</wp:posOffset>
            </wp:positionH>
            <wp:positionV relativeFrom="page">
              <wp:posOffset>1917700</wp:posOffset>
            </wp:positionV>
            <wp:extent cx="6223000" cy="6096000"/>
            <wp:wrapNone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60960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09"/>
        <w:gridCol w:w="4909"/>
      </w:tblGrid>
      <w:tr>
        <w:trPr>
          <w:trHeight w:hRule="atLeast" w:val="252"/>
        </w:trPr>
        <w:tc>
          <w:tcPr>
            <w:tcW w:type="dxa" w:w="6906"/>
            <w:tcBorders>
              <w:bottom w:sz="3.2000000000000455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28" w:right="0" w:firstLine="0"/>
              <w:jc w:val="left"/>
            </w:pPr>
            <w:r>
              <w:rPr>
                <w:w w:val="101.33333206176758"/>
                <w:rFonts w:ascii="" w:hAnsi="" w:eastAsia=""/>
                <w:b w:val="0"/>
                <w:i w:val="0"/>
                <w:color w:val="1A7A6E"/>
                <w:sz w:val="18"/>
              </w:rPr>
              <w:t>Change in the Share of AI/ANs Reporting IHS Access, 2010–2024</w:t>
            </w:r>
          </w:p>
        </w:tc>
        <w:tc>
          <w:tcPr>
            <w:tcW w:type="dxa" w:w="2872"/>
            <w:tcBorders>
              <w:bottom w:sz="3.2000000000000455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0" w:right="388" w:firstLine="0"/>
              <w:jc w:val="right"/>
            </w:pPr>
            <w:r>
              <w:rPr>
                <w:w w:val="101.33333206176758"/>
                <w:rFonts w:ascii="" w:hAnsi="" w:eastAsia=""/>
                <w:b w:val="0"/>
                <w:i w:val="0"/>
                <w:color w:val="888888"/>
                <w:sz w:val="18"/>
              </w:rPr>
              <w:t>Fox (2026)</w:t>
            </w:r>
          </w:p>
        </w:tc>
      </w:tr>
    </w:tbl>
    <w:p>
      <w:pPr>
        <w:autoSpaceDN w:val="0"/>
        <w:autoSpaceDE w:val="0"/>
        <w:widowControl/>
        <w:spacing w:line="248" w:lineRule="exact" w:before="126" w:after="0"/>
        <w:ind w:left="28" w:right="0" w:firstLine="0"/>
        <w:jc w:val="left"/>
      </w:pPr>
      <w:r>
        <w:rPr>
          <w:rFonts w:ascii="" w:hAnsi="" w:eastAsia=""/>
          <w:b/>
          <w:i w:val="0"/>
          <w:color w:val="1A1A1A"/>
          <w:sz w:val="22"/>
        </w:rPr>
        <w:t>ACS HINS7 Data: What We Have From Prior Analysis</w:t>
      </w:r>
    </w:p>
    <w:p>
      <w:pPr>
        <w:autoSpaceDN w:val="0"/>
        <w:autoSpaceDE w:val="0"/>
        <w:widowControl/>
        <w:spacing w:line="302" w:lineRule="exact" w:before="52" w:after="0"/>
        <w:ind w:left="28" w:right="720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From the November 2025 Fox analysis using the 2019–2023 ACS 5-year PUMS, two </w:t>
      </w:r>
      <w:r>
        <w:rPr>
          <w:rFonts w:ascii="" w:hAnsi="" w:eastAsia=""/>
          <w:b w:val="0"/>
          <w:i w:val="0"/>
          <w:color w:val="1A1A1A"/>
          <w:sz w:val="22"/>
        </w:rPr>
        <w:t xml:space="preserve">anchor data points are available. The three PUMS runs marked “PENDING” below require </w:t>
      </w:r>
      <w:r>
        <w:rPr>
          <w:rFonts w:ascii="" w:hAnsi="" w:eastAsia=""/>
          <w:b w:val="0"/>
          <w:i w:val="0"/>
          <w:color w:val="1A1A1A"/>
          <w:sz w:val="22"/>
        </w:rPr>
        <w:t>execution of the PUMS extraction script to complete the longitudinal series.</w:t>
      </w:r>
    </w:p>
    <w:p>
      <w:pPr>
        <w:autoSpaceDN w:val="0"/>
        <w:autoSpaceDE w:val="0"/>
        <w:widowControl/>
        <w:spacing w:line="224" w:lineRule="exact" w:before="404" w:after="128"/>
        <w:ind w:left="28" w:right="0" w:firstLine="0"/>
        <w:jc w:val="left"/>
      </w:pPr>
      <w:r>
        <w:rPr>
          <w:rFonts w:ascii="" w:hAnsi="" w:eastAsia=""/>
          <w:b/>
          <w:i w:val="0"/>
          <w:color w:val="1A7A6E"/>
          <w:sz w:val="20"/>
        </w:rPr>
        <w:t>Table 4.  Available HINS7 Estimates; Cells Marked PENDING Require the PUMS Run Script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5.99999999999994" w:type="dxa"/>
      </w:tblPr>
      <w:tblGrid>
        <w:gridCol w:w="1964"/>
        <w:gridCol w:w="1964"/>
        <w:gridCol w:w="1964"/>
        <w:gridCol w:w="1964"/>
        <w:gridCol w:w="1964"/>
      </w:tblGrid>
      <w:tr>
        <w:trPr>
          <w:trHeight w:hRule="atLeast" w:val="270"/>
        </w:trPr>
        <w:tc>
          <w:tcPr>
            <w:tcW w:type="dxa" w:w="19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76" w:after="0"/>
              <w:ind w:left="82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PUMS Period</w:t>
            </w:r>
          </w:p>
        </w:tc>
        <w:tc>
          <w:tcPr>
            <w:tcW w:type="dxa" w:w="1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44" w:after="0"/>
              <w:ind w:left="256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 xml:space="preserve">AIAN with </w:t>
            </w:r>
          </w:p>
        </w:tc>
        <w:tc>
          <w:tcPr>
            <w:tcW w:type="dxa" w:w="14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44" w:after="0"/>
              <w:ind w:left="128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 xml:space="preserve">Total AIAN </w:t>
            </w:r>
          </w:p>
        </w:tc>
        <w:tc>
          <w:tcPr>
            <w:tcW w:type="dxa" w:w="16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76" w:after="0"/>
              <w:ind w:left="300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HINS7 Share</w:t>
            </w:r>
          </w:p>
        </w:tc>
        <w:tc>
          <w:tcPr>
            <w:tcW w:type="dxa" w:w="24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44" w:after="0"/>
              <w:ind w:left="134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 xml:space="preserve">Insured Rate Among </w:t>
            </w:r>
          </w:p>
        </w:tc>
      </w:tr>
      <w:tr>
        <w:trPr>
          <w:trHeight w:hRule="atLeast" w:val="320"/>
        </w:trPr>
        <w:tc>
          <w:tcPr>
            <w:tcW w:type="dxa" w:w="1964"/>
            <w:vMerge/>
            <w:tcBorders/>
          </w:tcPr>
          <w:p/>
        </w:tc>
        <w:tc>
          <w:tcPr>
            <w:tcW w:type="dxa" w:w="1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" w:after="0"/>
              <w:ind w:left="256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HINS7=Yes</w:t>
            </w:r>
          </w:p>
        </w:tc>
        <w:tc>
          <w:tcPr>
            <w:tcW w:type="dxa" w:w="14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" w:after="0"/>
              <w:ind w:left="128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Pop.</w:t>
            </w:r>
          </w:p>
        </w:tc>
        <w:tc>
          <w:tcPr>
            <w:tcW w:type="dxa" w:w="1964"/>
            <w:vMerge/>
            <w:tcBorders/>
          </w:tcPr>
          <w:p/>
        </w:tc>
        <w:tc>
          <w:tcPr>
            <w:tcW w:type="dxa" w:w="24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" w:after="0"/>
              <w:ind w:left="134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1A7A6E"/>
                <w:sz w:val="20"/>
              </w:rPr>
              <w:t>HINS7=Yes</w:t>
            </w:r>
          </w:p>
        </w:tc>
      </w:tr>
      <w:tr>
        <w:trPr>
          <w:trHeight w:hRule="atLeast" w:val="400"/>
        </w:trPr>
        <w:tc>
          <w:tcPr>
            <w:tcW w:type="dxa" w:w="1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94" w:after="0"/>
              <w:ind w:left="8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2013 (prior work)</w:t>
            </w:r>
          </w:p>
        </w:tc>
        <w:tc>
          <w:tcPr>
            <w:tcW w:type="dxa" w:w="1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94" w:after="0"/>
              <w:ind w:left="256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~1,275,712</w:t>
            </w:r>
          </w:p>
        </w:tc>
        <w:tc>
          <w:tcPr>
            <w:tcW w:type="dxa" w:w="14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94" w:after="0"/>
              <w:ind w:left="12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~5,130,103</w:t>
            </w:r>
          </w:p>
        </w:tc>
        <w:tc>
          <w:tcPr>
            <w:tcW w:type="dxa" w:w="1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94" w:after="0"/>
              <w:ind w:left="30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~24.9%</w:t>
            </w:r>
          </w:p>
        </w:tc>
        <w:tc>
          <w:tcPr>
            <w:tcW w:type="dxa" w:w="24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94" w:after="0"/>
              <w:ind w:left="134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63.4%</w:t>
            </w:r>
          </w:p>
        </w:tc>
      </w:tr>
      <w:tr>
        <w:trPr>
          <w:trHeight w:hRule="atLeast" w:val="300"/>
        </w:trPr>
        <w:tc>
          <w:tcPr>
            <w:tcW w:type="dxa" w:w="1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76" w:after="0"/>
              <w:ind w:left="8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 xml:space="preserve">2019–2023 (prior </w:t>
            </w:r>
          </w:p>
        </w:tc>
        <w:tc>
          <w:tcPr>
            <w:tcW w:type="dxa" w:w="19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198" w:after="0"/>
              <w:ind w:left="256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~1,937,687</w:t>
            </w:r>
          </w:p>
        </w:tc>
        <w:tc>
          <w:tcPr>
            <w:tcW w:type="dxa" w:w="14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198" w:after="0"/>
              <w:ind w:left="12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~7,312,161</w:t>
            </w:r>
          </w:p>
        </w:tc>
        <w:tc>
          <w:tcPr>
            <w:tcW w:type="dxa" w:w="16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198" w:after="0"/>
              <w:ind w:left="30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~26.5%</w:t>
            </w:r>
          </w:p>
        </w:tc>
        <w:tc>
          <w:tcPr>
            <w:tcW w:type="dxa" w:w="24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198" w:after="0"/>
              <w:ind w:left="134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77.3%</w:t>
            </w:r>
          </w:p>
        </w:tc>
      </w:tr>
      <w:tr>
        <w:trPr>
          <w:trHeight w:hRule="atLeast" w:val="320"/>
        </w:trPr>
        <w:tc>
          <w:tcPr>
            <w:tcW w:type="dxa" w:w="1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4" w:after="0"/>
              <w:ind w:left="8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work)</w:t>
            </w:r>
          </w:p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</w:tr>
      <w:tr>
        <w:trPr>
          <w:trHeight w:hRule="atLeast" w:val="300"/>
        </w:trPr>
        <w:tc>
          <w:tcPr>
            <w:tcW w:type="dxa" w:w="19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2" w:after="0"/>
              <w:ind w:left="8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2008–2012</w:t>
            </w:r>
          </w:p>
        </w:tc>
        <w:tc>
          <w:tcPr>
            <w:tcW w:type="dxa" w:w="1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76" w:after="0"/>
              <w:ind w:left="256" w:right="0" w:firstLine="0"/>
              <w:jc w:val="left"/>
            </w:pPr>
            <w:r>
              <w:rPr>
                <w:rFonts w:ascii="" w:hAnsi="" w:eastAsia=""/>
                <w:b w:val="0"/>
                <w:i/>
                <w:color w:val="888888"/>
                <w:sz w:val="20"/>
              </w:rPr>
              <w:t xml:space="preserve">PENDING PUMS </w:t>
            </w:r>
          </w:p>
        </w:tc>
        <w:tc>
          <w:tcPr>
            <w:tcW w:type="dxa" w:w="14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2" w:after="0"/>
              <w:ind w:left="12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—</w:t>
            </w:r>
          </w:p>
        </w:tc>
        <w:tc>
          <w:tcPr>
            <w:tcW w:type="dxa" w:w="16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2" w:after="0"/>
              <w:ind w:left="30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—</w:t>
            </w:r>
          </w:p>
        </w:tc>
        <w:tc>
          <w:tcPr>
            <w:tcW w:type="dxa" w:w="24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2" w:after="0"/>
              <w:ind w:left="134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—</w:t>
            </w:r>
          </w:p>
        </w:tc>
      </w:tr>
      <w:tr>
        <w:trPr>
          <w:trHeight w:hRule="atLeast" w:val="320"/>
        </w:trPr>
        <w:tc>
          <w:tcPr>
            <w:tcW w:type="dxa" w:w="1964"/>
            <w:vMerge/>
            <w:tcBorders/>
          </w:tcPr>
          <w:p/>
        </w:tc>
        <w:tc>
          <w:tcPr>
            <w:tcW w:type="dxa" w:w="1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8" w:after="0"/>
              <w:ind w:left="256" w:right="0" w:firstLine="0"/>
              <w:jc w:val="left"/>
            </w:pPr>
            <w:r>
              <w:rPr>
                <w:rFonts w:ascii="" w:hAnsi="" w:eastAsia=""/>
                <w:b w:val="0"/>
                <w:i/>
                <w:color w:val="888888"/>
                <w:sz w:val="20"/>
              </w:rPr>
              <w:t>RUN</w:t>
            </w:r>
          </w:p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</w:tr>
      <w:tr>
        <w:trPr>
          <w:trHeight w:hRule="atLeast" w:val="300"/>
        </w:trPr>
        <w:tc>
          <w:tcPr>
            <w:tcW w:type="dxa" w:w="19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2" w:after="0"/>
              <w:ind w:left="8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2013–2017</w:t>
            </w:r>
          </w:p>
        </w:tc>
        <w:tc>
          <w:tcPr>
            <w:tcW w:type="dxa" w:w="1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74" w:after="0"/>
              <w:ind w:left="256" w:right="0" w:firstLine="0"/>
              <w:jc w:val="left"/>
            </w:pPr>
            <w:r>
              <w:rPr>
                <w:rFonts w:ascii="" w:hAnsi="" w:eastAsia=""/>
                <w:b w:val="0"/>
                <w:i/>
                <w:color w:val="888888"/>
                <w:sz w:val="20"/>
              </w:rPr>
              <w:t xml:space="preserve">PENDING PUMS </w:t>
            </w:r>
          </w:p>
        </w:tc>
        <w:tc>
          <w:tcPr>
            <w:tcW w:type="dxa" w:w="14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2" w:after="0"/>
              <w:ind w:left="12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—</w:t>
            </w:r>
          </w:p>
        </w:tc>
        <w:tc>
          <w:tcPr>
            <w:tcW w:type="dxa" w:w="16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2" w:after="0"/>
              <w:ind w:left="30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—</w:t>
            </w:r>
          </w:p>
        </w:tc>
        <w:tc>
          <w:tcPr>
            <w:tcW w:type="dxa" w:w="24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2" w:after="0"/>
              <w:ind w:left="134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—</w:t>
            </w:r>
          </w:p>
        </w:tc>
      </w:tr>
      <w:tr>
        <w:trPr>
          <w:trHeight w:hRule="atLeast" w:val="320"/>
        </w:trPr>
        <w:tc>
          <w:tcPr>
            <w:tcW w:type="dxa" w:w="1964"/>
            <w:vMerge/>
            <w:tcBorders/>
          </w:tcPr>
          <w:p/>
        </w:tc>
        <w:tc>
          <w:tcPr>
            <w:tcW w:type="dxa" w:w="1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16" w:after="0"/>
              <w:ind w:left="256" w:right="0" w:firstLine="0"/>
              <w:jc w:val="left"/>
            </w:pPr>
            <w:r>
              <w:rPr>
                <w:rFonts w:ascii="" w:hAnsi="" w:eastAsia=""/>
                <w:b w:val="0"/>
                <w:i/>
                <w:color w:val="888888"/>
                <w:sz w:val="20"/>
              </w:rPr>
              <w:t>RUN</w:t>
            </w:r>
          </w:p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</w:tr>
      <w:tr>
        <w:trPr>
          <w:trHeight w:hRule="atLeast" w:val="300"/>
        </w:trPr>
        <w:tc>
          <w:tcPr>
            <w:tcW w:type="dxa" w:w="19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6" w:after="0"/>
              <w:ind w:left="82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2020–2024</w:t>
            </w:r>
          </w:p>
        </w:tc>
        <w:tc>
          <w:tcPr>
            <w:tcW w:type="dxa" w:w="1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74" w:after="0"/>
              <w:ind w:left="256" w:right="0" w:firstLine="0"/>
              <w:jc w:val="left"/>
            </w:pPr>
            <w:r>
              <w:rPr>
                <w:rFonts w:ascii="" w:hAnsi="" w:eastAsia=""/>
                <w:b w:val="0"/>
                <w:i/>
                <w:color w:val="888888"/>
                <w:sz w:val="20"/>
              </w:rPr>
              <w:t xml:space="preserve">PENDING PUMS </w:t>
            </w:r>
          </w:p>
        </w:tc>
        <w:tc>
          <w:tcPr>
            <w:tcW w:type="dxa" w:w="14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6" w:after="0"/>
              <w:ind w:left="12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—</w:t>
            </w:r>
          </w:p>
        </w:tc>
        <w:tc>
          <w:tcPr>
            <w:tcW w:type="dxa" w:w="16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6" w:after="0"/>
              <w:ind w:left="30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—</w:t>
            </w:r>
          </w:p>
        </w:tc>
        <w:tc>
          <w:tcPr>
            <w:tcW w:type="dxa" w:w="24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06" w:after="0"/>
              <w:ind w:left="134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A1A1A"/>
                <w:sz w:val="20"/>
              </w:rPr>
              <w:t>—</w:t>
            </w:r>
          </w:p>
        </w:tc>
      </w:tr>
      <w:tr>
        <w:trPr>
          <w:trHeight w:hRule="atLeast" w:val="306"/>
        </w:trPr>
        <w:tc>
          <w:tcPr>
            <w:tcW w:type="dxa" w:w="1964"/>
            <w:vMerge/>
            <w:tcBorders/>
          </w:tcPr>
          <w:p/>
        </w:tc>
        <w:tc>
          <w:tcPr>
            <w:tcW w:type="dxa" w:w="1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20" w:after="0"/>
              <w:ind w:left="256" w:right="0" w:firstLine="0"/>
              <w:jc w:val="left"/>
            </w:pPr>
            <w:r>
              <w:rPr>
                <w:rFonts w:ascii="" w:hAnsi="" w:eastAsia=""/>
                <w:b w:val="0"/>
                <w:i/>
                <w:color w:val="888888"/>
                <w:sz w:val="20"/>
              </w:rPr>
              <w:t>RUN</w:t>
            </w:r>
          </w:p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  <w:tc>
          <w:tcPr>
            <w:tcW w:type="dxa" w:w="1964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88" w:lineRule="exact" w:before="782" w:after="0"/>
        <w:ind w:left="28" w:right="0" w:firstLine="0"/>
        <w:jc w:val="left"/>
      </w:pPr>
      <w:r>
        <w:rPr>
          <w:rFonts w:ascii="" w:hAnsi="" w:eastAsia=""/>
          <w:b/>
          <w:i w:val="0"/>
          <w:color w:val="1A7A6E"/>
          <w:sz w:val="26"/>
        </w:rPr>
        <w:t>Preliminary Interpretation of Available Data</w:t>
      </w:r>
    </w:p>
    <w:p>
      <w:pPr>
        <w:autoSpaceDN w:val="0"/>
        <w:autoSpaceDE w:val="0"/>
        <w:widowControl/>
        <w:spacing w:line="304" w:lineRule="exact" w:before="212" w:after="0"/>
        <w:ind w:left="28" w:right="0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The two data points from prior analysis (2013 baseline and 2019–2023 endpoint) already </w:t>
      </w:r>
      <w:r>
        <w:rPr>
          <w:rFonts w:ascii="" w:hAnsi="" w:eastAsia=""/>
          <w:b w:val="0"/>
          <w:i w:val="0"/>
          <w:color w:val="1A1A1A"/>
          <w:sz w:val="22"/>
        </w:rPr>
        <w:t xml:space="preserve">suggest a meaningful finding: the HINS7 share of the total AIAN population appears to have </w:t>
      </w:r>
      <w:r>
        <w:rPr>
          <w:rFonts w:ascii="" w:hAnsi="" w:eastAsia=""/>
          <w:b w:val="0"/>
          <w:i w:val="0"/>
          <w:color w:val="1A1A1A"/>
          <w:sz w:val="22"/>
        </w:rPr>
        <w:t xml:space="preserve">increased modestly, from approximately 24.9% to 26.5%, even as the total AIAN population grew </w:t>
      </w:r>
      <w:r>
        <w:rPr>
          <w:rFonts w:ascii="" w:hAnsi="" w:eastAsia=""/>
          <w:b w:val="0"/>
          <w:i w:val="0"/>
          <w:color w:val="1A1A1A"/>
          <w:sz w:val="22"/>
        </w:rPr>
        <w:t xml:space="preserve">by 42.5%. In absolute terms, the IHS-access subpopulation grew faster (51.9%) than the total AIAN </w:t>
      </w:r>
      <w:r>
        <w:rPr>
          <w:rFonts w:ascii="" w:hAnsi="" w:eastAsia=""/>
          <w:b w:val="0"/>
          <w:i w:val="0"/>
          <w:color w:val="1A1A1A"/>
          <w:sz w:val="22"/>
        </w:rPr>
        <w:t xml:space="preserve">population, suggesting the IHS-access group is a growing, not shrinking, share of the AIAN </w:t>
      </w:r>
      <w:r>
        <w:rPr>
          <w:rFonts w:ascii="" w:hAnsi="" w:eastAsia=""/>
          <w:b w:val="0"/>
          <w:i w:val="0"/>
          <w:color w:val="1A1A1A"/>
          <w:sz w:val="22"/>
        </w:rPr>
        <w:t>population.</w:t>
      </w:r>
    </w:p>
    <w:p>
      <w:pPr>
        <w:autoSpaceDN w:val="0"/>
        <w:autoSpaceDE w:val="0"/>
        <w:widowControl/>
        <w:spacing w:line="304" w:lineRule="exact" w:before="80" w:after="0"/>
        <w:ind w:left="28" w:right="144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This is a counterintuitive finding worth investigating with the full four-period series. Possible </w:t>
      </w:r>
      <w:r>
        <w:rPr>
          <w:rFonts w:ascii="" w:hAnsi="" w:eastAsia=""/>
          <w:b w:val="0"/>
          <w:i w:val="0"/>
          <w:color w:val="1A1A1A"/>
          <w:sz w:val="22"/>
        </w:rPr>
        <w:t xml:space="preserve">explanations include: improved ACS survey capture of IHS-eligible populations on and near </w:t>
      </w:r>
      <w:r>
        <w:rPr>
          <w:rFonts w:ascii="" w:hAnsi="" w:eastAsia=""/>
          <w:b w:val="0"/>
          <w:i w:val="0"/>
          <w:color w:val="1A1A1A"/>
          <w:sz w:val="22"/>
        </w:rPr>
        <w:t xml:space="preserve">reservations; growth of tribally operated programs (PL 638 compacts) increasing registration; </w:t>
      </w:r>
      <w:r>
        <w:rPr>
          <w:rFonts w:ascii="" w:hAnsi="" w:eastAsia=""/>
          <w:b w:val="0"/>
          <w:i w:val="0"/>
          <w:color w:val="1A1A1A"/>
          <w:sz w:val="22"/>
        </w:rPr>
        <w:t xml:space="preserve">Medicaid expansion creating new touchpoints that prompted IHS registration; and demographic </w:t>
      </w:r>
      <w:r>
        <w:rPr>
          <w:rFonts w:ascii="" w:hAnsi="" w:eastAsia=""/>
          <w:b w:val="0"/>
          <w:i w:val="0"/>
          <w:color w:val="1A1A1A"/>
          <w:sz w:val="22"/>
        </w:rPr>
        <w:t xml:space="preserve">concentration, with reservation-based IHS-access populations growing faster than urban AIAN </w:t>
      </w:r>
      <w:r>
        <w:rPr>
          <w:rFonts w:ascii="" w:hAnsi="" w:eastAsia=""/>
          <w:b w:val="0"/>
          <w:i w:val="0"/>
          <w:color w:val="1A1A1A"/>
          <w:sz w:val="22"/>
        </w:rPr>
        <w:t>populations.</w:t>
      </w:r>
    </w:p>
    <w:p>
      <w:pPr>
        <w:autoSpaceDN w:val="0"/>
        <w:autoSpaceDE w:val="0"/>
        <w:widowControl/>
        <w:spacing w:line="288" w:lineRule="exact" w:before="424" w:after="0"/>
        <w:ind w:left="28" w:right="0" w:firstLine="0"/>
        <w:jc w:val="left"/>
      </w:pPr>
      <w:r>
        <w:rPr>
          <w:rFonts w:ascii="" w:hAnsi="" w:eastAsia=""/>
          <w:b/>
          <w:i w:val="0"/>
          <w:color w:val="1A7A6E"/>
          <w:sz w:val="26"/>
        </w:rPr>
        <w:t>State-Level Analysis Framework</w:t>
      </w:r>
    </w:p>
    <w:p>
      <w:pPr>
        <w:autoSpaceDN w:val="0"/>
        <w:autoSpaceDE w:val="0"/>
        <w:widowControl/>
        <w:spacing w:line="302" w:lineRule="exact" w:before="210" w:after="232"/>
        <w:ind w:left="28" w:right="0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The state-level analysis examines divergent trends across three state typologies: Southwest </w:t>
      </w:r>
      <w:r>
        <w:rPr>
          <w:rFonts w:ascii="" w:hAnsi="" w:eastAsia=""/>
          <w:b w:val="0"/>
          <w:i w:val="0"/>
          <w:color w:val="1A1A1A"/>
          <w:sz w:val="22"/>
        </w:rPr>
        <w:t xml:space="preserve">states (Arizona, New Mexico, Utah) show growth in reported IHS access corresponding to Tribal </w:t>
      </w:r>
      <w:r>
        <w:rPr>
          <w:rFonts w:ascii="" w:hAnsi="" w:eastAsia=""/>
          <w:b w:val="0"/>
          <w:i w:val="0"/>
          <w:color w:val="1A1A1A"/>
          <w:sz w:val="22"/>
        </w:rPr>
        <w:t xml:space="preserve">facility expansion under PL 638 self-governance. Pacific Northwest, Northern Plains, and Upper </w:t>
      </w:r>
      <w:r>
        <w:rPr>
          <w:rFonts w:ascii="" w:hAnsi="" w:eastAsia=""/>
          <w:b w:val="0"/>
          <w:i w:val="0"/>
          <w:color w:val="1A1A1A"/>
          <w:sz w:val="22"/>
        </w:rPr>
        <w:t xml:space="preserve">Midwest states show declining access shares, interpreted as reflecting capacity constraints rather </w:t>
      </w:r>
      <w:r>
        <w:rPr>
          <w:rFonts w:ascii="" w:hAnsi="" w:eastAsia=""/>
          <w:b w:val="0"/>
          <w:i w:val="0"/>
          <w:color w:val="1A1A1A"/>
          <w:sz w:val="22"/>
        </w:rPr>
        <w:t xml:space="preserve">than reduced need. These state-level patterns connect directly to Medicaid financing implications, </w:t>
      </w:r>
      <w:r>
        <w:rPr>
          <w:rFonts w:ascii="" w:hAnsi="" w:eastAsia=""/>
          <w:b w:val="0"/>
          <w:i w:val="0"/>
          <w:color w:val="1A1A1A"/>
          <w:sz w:val="22"/>
        </w:rPr>
        <w:t xml:space="preserve">particularly the relationship between IHS user population size and 100 percent FMAP expenditure </w:t>
      </w:r>
      <w:r>
        <w:rPr>
          <w:rFonts w:ascii="" w:hAnsi="" w:eastAsia=""/>
          <w:b w:val="0"/>
          <w:i w:val="0"/>
          <w:color w:val="1A1A1A"/>
          <w:sz w:val="22"/>
        </w:rPr>
        <w:t>levels.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3273"/>
        <w:gridCol w:w="3273"/>
        <w:gridCol w:w="3273"/>
      </w:tblGrid>
      <w:tr>
        <w:trPr>
          <w:trHeight w:hRule="atLeast" w:val="326"/>
        </w:trPr>
        <w:tc>
          <w:tcPr>
            <w:tcW w:type="dxa" w:w="6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168" w:after="0"/>
              <w:ind w:left="22" w:right="0" w:firstLine="0"/>
              <w:jc w:val="left"/>
            </w:pPr>
            <w:r>
              <w:rPr>
                <w:w w:val="98.99999499320984"/>
                <w:rFonts w:ascii="" w:hAnsi="" w:eastAsia=""/>
                <w:b w:val="0"/>
                <w:i w:val="0"/>
                <w:color w:val="888888"/>
                <w:sz w:val="16"/>
              </w:rPr>
              <w:t xml:space="preserve">Indian Health Financing Series — Working Paper </w:t>
            </w:r>
          </w:p>
        </w:tc>
        <w:tc>
          <w:tcPr>
            <w:tcW w:type="dxa" w:w="34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168" w:after="0"/>
              <w:ind w:left="0" w:right="118" w:firstLine="0"/>
              <w:jc w:val="right"/>
            </w:pPr>
            <w:r>
              <w:rPr>
                <w:w w:val="98.99999499320984"/>
                <w:rFonts w:ascii="" w:hAnsi="" w:eastAsia=""/>
                <w:b w:val="0"/>
                <w:i w:val="0"/>
                <w:color w:val="888888"/>
                <w:sz w:val="16"/>
              </w:rPr>
              <w:t>March 2026</w:t>
            </w:r>
          </w:p>
        </w:tc>
        <w:tc>
          <w:tcPr>
            <w:tcW w:type="dxa" w:w="3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8" w:firstLine="0"/>
              <w:jc w:val="righ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4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354" w:right="1188" w:bottom="356" w:left="123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34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-2199640</wp:posOffset>
            </wp:positionH>
            <wp:positionV relativeFrom="page">
              <wp:posOffset>-1057910</wp:posOffset>
            </wp:positionV>
            <wp:extent cx="12172950" cy="15753229"/>
            <wp:wrapNone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172950" cy="1575322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774700</wp:posOffset>
            </wp:positionH>
            <wp:positionV relativeFrom="page">
              <wp:posOffset>2095500</wp:posOffset>
            </wp:positionV>
            <wp:extent cx="6223000" cy="5918200"/>
            <wp:wrapNone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59182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11"/>
        <w:gridCol w:w="4911"/>
      </w:tblGrid>
      <w:tr>
        <w:trPr>
          <w:trHeight w:hRule="atLeast" w:val="252"/>
        </w:trPr>
        <w:tc>
          <w:tcPr>
            <w:tcW w:type="dxa" w:w="6906"/>
            <w:tcBorders>
              <w:bottom w:sz="3.2000000000000455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28" w:right="0" w:firstLine="0"/>
              <w:jc w:val="left"/>
            </w:pPr>
            <w:r>
              <w:rPr>
                <w:w w:val="101.33333206176758"/>
                <w:rFonts w:ascii="" w:hAnsi="" w:eastAsia=""/>
                <w:b w:val="0"/>
                <w:i w:val="0"/>
                <w:color w:val="1A7A6E"/>
                <w:sz w:val="18"/>
              </w:rPr>
              <w:t>Change in the Share of AI/ANs Reporting IHS Access, 2010–2024</w:t>
            </w:r>
          </w:p>
        </w:tc>
        <w:tc>
          <w:tcPr>
            <w:tcW w:type="dxa" w:w="2872"/>
            <w:tcBorders>
              <w:bottom w:sz="3.2000000000000455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0" w:right="388" w:firstLine="0"/>
              <w:jc w:val="right"/>
            </w:pPr>
            <w:r>
              <w:rPr>
                <w:w w:val="101.33333206176758"/>
                <w:rFonts w:ascii="" w:hAnsi="" w:eastAsia=""/>
                <w:b w:val="0"/>
                <w:i w:val="0"/>
                <w:color w:val="888888"/>
                <w:sz w:val="18"/>
              </w:rPr>
              <w:t>Fox (2026)</w:t>
            </w:r>
          </w:p>
        </w:tc>
      </w:tr>
    </w:tbl>
    <w:p>
      <w:pPr>
        <w:autoSpaceDN w:val="0"/>
        <w:autoSpaceDE w:val="0"/>
        <w:widowControl/>
        <w:spacing w:line="304" w:lineRule="exact" w:before="70" w:after="0"/>
        <w:ind w:left="28" w:right="0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The Bhaskar et al. (2018) finding that HINS7 undercounts active IHS users by approximately </w:t>
      </w:r>
      <w:r>
        <w:rPr>
          <w:rFonts w:ascii="" w:hAnsi="" w:eastAsia=""/>
          <w:b w:val="0"/>
          <w:i w:val="0"/>
          <w:color w:val="1A1A1A"/>
          <w:sz w:val="22"/>
        </w:rPr>
        <w:t xml:space="preserve">25 percent is applied as a systematic correction to point estimates when translating ACS-based IHS </w:t>
      </w:r>
      <w:r>
        <w:rPr>
          <w:rFonts w:ascii="" w:hAnsi="" w:eastAsia=""/>
          <w:b w:val="0"/>
          <w:i w:val="0"/>
          <w:color w:val="1A1A1A"/>
          <w:sz w:val="22"/>
        </w:rPr>
        <w:t xml:space="preserve">access shares into service population denominators for fiscal analysis. Trends over time are </w:t>
      </w:r>
      <w:r>
        <w:rPr>
          <w:rFonts w:ascii="" w:hAnsi="" w:eastAsia=""/>
          <w:b w:val="0"/>
          <w:i w:val="0"/>
          <w:color w:val="1A1A1A"/>
          <w:sz w:val="22"/>
        </w:rPr>
        <w:t xml:space="preserve">interpreted without this correction, on the assumption that the undercount rate is approximately </w:t>
      </w:r>
      <w:r>
        <w:rPr>
          <w:rFonts w:ascii="" w:hAnsi="" w:eastAsia=""/>
          <w:b w:val="0"/>
          <w:i w:val="0"/>
          <w:color w:val="1A1A1A"/>
          <w:sz w:val="22"/>
        </w:rPr>
        <w:t>stable across periods.</w:t>
      </w:r>
    </w:p>
    <w:p>
      <w:pPr>
        <w:autoSpaceDN w:val="0"/>
        <w:autoSpaceDE w:val="0"/>
        <w:widowControl/>
        <w:spacing w:line="290" w:lineRule="exact" w:before="424" w:after="0"/>
        <w:ind w:left="28" w:right="0" w:firstLine="0"/>
        <w:jc w:val="left"/>
      </w:pPr>
      <w:r>
        <w:rPr>
          <w:rFonts w:ascii="" w:hAnsi="" w:eastAsia=""/>
          <w:b/>
          <w:i w:val="0"/>
          <w:color w:val="1A7A6E"/>
          <w:sz w:val="26"/>
        </w:rPr>
        <w:t>Implications for Indian Health Financing Analysis</w:t>
      </w:r>
    </w:p>
    <w:p>
      <w:pPr>
        <w:autoSpaceDN w:val="0"/>
        <w:autoSpaceDE w:val="0"/>
        <w:widowControl/>
        <w:spacing w:line="304" w:lineRule="exact" w:before="206" w:after="0"/>
        <w:ind w:left="28" w:right="144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The HINS7 longitudinal analysis directly informs the full-funding requirement estimates </w:t>
      </w:r>
      <w:r>
        <w:rPr>
          <w:rFonts w:ascii="" w:hAnsi="" w:eastAsia=""/>
          <w:b w:val="0"/>
          <w:i w:val="0"/>
          <w:color w:val="1A1A1A"/>
          <w:sz w:val="22"/>
        </w:rPr>
        <w:t xml:space="preserve">developed in the companion paper (Fox, 2026). If the IHS-access share of the AIAN population is </w:t>
      </w:r>
      <w:r>
        <w:rPr>
          <w:rFonts w:ascii="" w:hAnsi="" w:eastAsia=""/>
          <w:b w:val="0"/>
          <w:i w:val="0"/>
          <w:color w:val="1A1A1A"/>
          <w:sz w:val="22"/>
        </w:rPr>
        <w:t xml:space="preserve">stable or growing, the 2.6 million service population denominator used in the primary full-funding </w:t>
      </w:r>
      <w:r>
        <w:rPr>
          <w:rFonts w:ascii="" w:hAnsi="" w:eastAsia=""/>
          <w:b w:val="0"/>
          <w:i w:val="0"/>
          <w:color w:val="1A1A1A"/>
          <w:sz w:val="22"/>
        </w:rPr>
        <w:t xml:space="preserve">estimate is conservative — the true population requiring IHS-funded services may be larger. If the </w:t>
      </w:r>
      <w:r>
        <w:rPr>
          <w:rFonts w:ascii="" w:hAnsi="" w:eastAsia=""/>
          <w:b w:val="0"/>
          <w:i w:val="0"/>
          <w:color w:val="1A1A1A"/>
          <w:sz w:val="22"/>
        </w:rPr>
        <w:t xml:space="preserve">four-period series reveals declining HINS7 shares in specific state typologies, this may indicate </w:t>
      </w:r>
      <w:r>
        <w:rPr>
          <w:rFonts w:ascii="" w:hAnsi="" w:eastAsia=""/>
          <w:b w:val="0"/>
          <w:i w:val="0"/>
          <w:color w:val="1A1A1A"/>
          <w:sz w:val="22"/>
        </w:rPr>
        <w:t xml:space="preserve">facility capacity constraints suppressing access reporting, which would compound the utilization </w:t>
      </w:r>
      <w:r>
        <w:rPr>
          <w:rFonts w:ascii="" w:hAnsi="" w:eastAsia=""/>
          <w:b w:val="0"/>
          <w:i w:val="0"/>
          <w:color w:val="1A1A1A"/>
          <w:sz w:val="22"/>
        </w:rPr>
        <w:t>artifact problem identified in the methodological challenges section of the full-funding paper.</w:t>
      </w:r>
    </w:p>
    <w:p>
      <w:pPr>
        <w:autoSpaceDN w:val="0"/>
        <w:autoSpaceDE w:val="0"/>
        <w:widowControl/>
        <w:spacing w:line="304" w:lineRule="exact" w:before="80" w:after="0"/>
        <w:ind w:left="28" w:right="0" w:firstLine="720"/>
        <w:jc w:val="left"/>
      </w:pPr>
      <w:r>
        <w:rPr>
          <w:rFonts w:ascii="" w:hAnsi="" w:eastAsia=""/>
          <w:b w:val="0"/>
          <w:i w:val="0"/>
          <w:color w:val="1A1A1A"/>
          <w:sz w:val="22"/>
        </w:rPr>
        <w:t xml:space="preserve">The 2020–2024 PUMS release, covering the post-pandemic and post-late-expansion period, </w:t>
      </w:r>
      <w:r>
        <w:rPr>
          <w:rFonts w:ascii="" w:hAnsi="" w:eastAsia=""/>
          <w:b w:val="0"/>
          <w:i w:val="0"/>
          <w:color w:val="1A1A1A"/>
          <w:sz w:val="22"/>
        </w:rPr>
        <w:t xml:space="preserve">is particularly important: Oklahoma’s 2021 expansion and South Dakota’s 2023 expansion should </w:t>
      </w:r>
      <w:r>
        <w:rPr>
          <w:rFonts w:ascii="" w:hAnsi="" w:eastAsia=""/>
          <w:b w:val="0"/>
          <w:i w:val="0"/>
          <w:color w:val="1A1A1A"/>
          <w:sz w:val="22"/>
        </w:rPr>
        <w:t xml:space="preserve">produce visible increases in the IHS-access population if the Medicaid-IHS registration linkage </w:t>
      </w:r>
      <w:r>
        <w:rPr>
          <w:rFonts w:ascii="" w:hAnsi="" w:eastAsia=""/>
          <w:b w:val="0"/>
          <w:i w:val="0"/>
          <w:color w:val="1A1A1A"/>
          <w:sz w:val="22"/>
        </w:rPr>
        <w:t xml:space="preserve">operates as expected. Observing whether these late-expansion states show HINS7 increases in the </w:t>
      </w:r>
      <w:r>
        <w:rPr>
          <w:rFonts w:ascii="" w:hAnsi="" w:eastAsia=""/>
          <w:b w:val="0"/>
          <w:i w:val="0"/>
          <w:color w:val="1A1A1A"/>
          <w:sz w:val="22"/>
        </w:rPr>
        <w:t>2020–2024 window will provide a quasi-experimental test of the Medicaid-as-IHS-registration-</w:t>
      </w:r>
      <w:r>
        <w:rPr>
          <w:rFonts w:ascii="" w:hAnsi="" w:eastAsia=""/>
          <w:b w:val="0"/>
          <w:i w:val="0"/>
          <w:color w:val="1A1A1A"/>
          <w:sz w:val="22"/>
        </w:rPr>
        <w:t>catalyst hypothesis.</w:t>
      </w:r>
    </w:p>
    <w:p>
      <w:pPr>
        <w:autoSpaceDN w:val="0"/>
        <w:autoSpaceDE w:val="0"/>
        <w:widowControl/>
        <w:spacing w:line="290" w:lineRule="exact" w:before="1038" w:after="0"/>
        <w:ind w:left="28" w:right="0" w:firstLine="0"/>
        <w:jc w:val="left"/>
      </w:pPr>
      <w:r>
        <w:rPr>
          <w:rFonts w:ascii="" w:hAnsi="" w:eastAsia=""/>
          <w:b/>
          <w:i w:val="0"/>
          <w:color w:val="1A7A6E"/>
          <w:sz w:val="26"/>
        </w:rPr>
        <w:t>Key References</w:t>
      </w:r>
    </w:p>
    <w:p>
      <w:pPr>
        <w:autoSpaceDN w:val="0"/>
        <w:autoSpaceDE w:val="0"/>
        <w:widowControl/>
        <w:spacing w:line="230" w:lineRule="exact" w:before="256" w:after="0"/>
        <w:ind w:left="388" w:right="144" w:hanging="360"/>
        <w:jc w:val="left"/>
      </w:pPr>
      <w:r>
        <w:rPr>
          <w:rFonts w:ascii="" w:hAnsi="" w:eastAsia=""/>
          <w:b w:val="0"/>
          <w:i w:val="0"/>
          <w:color w:val="1A1A1A"/>
          <w:sz w:val="20"/>
        </w:rPr>
        <w:t xml:space="preserve">Bhaskar, R., O’Hara, B., &amp; Walters, N. (2018). Health insurance coverage and the American Indian and </w:t>
      </w:r>
      <w:r>
        <w:rPr>
          <w:rFonts w:ascii="" w:hAnsi="" w:eastAsia=""/>
          <w:b w:val="0"/>
          <w:i w:val="0"/>
          <w:color w:val="1A1A1A"/>
          <w:sz w:val="20"/>
        </w:rPr>
        <w:t xml:space="preserve">Alaska Native population: Analysis using linked administrative records. U.S. Census Bureau, Center for </w:t>
      </w:r>
      <w:r>
        <w:rPr>
          <w:rFonts w:ascii="" w:hAnsi="" w:eastAsia=""/>
          <w:b w:val="0"/>
          <w:i w:val="0"/>
          <w:color w:val="1A1A1A"/>
          <w:sz w:val="20"/>
        </w:rPr>
        <w:t>Administrative Records Research and Applications (CARRA) Working Paper.</w:t>
      </w:r>
    </w:p>
    <w:p>
      <w:pPr>
        <w:autoSpaceDN w:val="0"/>
        <w:tabs>
          <w:tab w:pos="388" w:val="left"/>
        </w:tabs>
        <w:autoSpaceDE w:val="0"/>
        <w:widowControl/>
        <w:spacing w:line="232" w:lineRule="exact" w:before="74" w:after="0"/>
        <w:ind w:left="28" w:right="576" w:firstLine="0"/>
        <w:jc w:val="left"/>
      </w:pPr>
      <w:r>
        <w:rPr>
          <w:rFonts w:ascii="" w:hAnsi="" w:eastAsia=""/>
          <w:b w:val="0"/>
          <w:i w:val="0"/>
          <w:color w:val="1A1A1A"/>
          <w:sz w:val="20"/>
        </w:rPr>
        <w:t xml:space="preserve">Fox, E. J. (2025, November). IHS access and coverage trends: ACS HINS7 analysis using 2019–2023 </w:t>
      </w:r>
      <w:r>
        <w:rPr>
          <w:rFonts w:ascii="" w:hAnsi="" w:eastAsia=""/>
          <w:b w:val="0"/>
          <w:i w:val="0"/>
          <w:color w:val="1A1A1A"/>
          <w:sz w:val="20"/>
        </w:rPr>
        <w:t>PUMS. Indian Health Financing Working Paper.</w:t>
      </w:r>
    </w:p>
    <w:p>
      <w:pPr>
        <w:autoSpaceDN w:val="0"/>
        <w:autoSpaceDE w:val="0"/>
        <w:widowControl/>
        <w:spacing w:line="226" w:lineRule="exact" w:before="86" w:after="0"/>
        <w:ind w:left="28" w:right="0" w:firstLine="0"/>
        <w:jc w:val="left"/>
      </w:pPr>
      <w:r>
        <w:rPr>
          <w:rFonts w:ascii="" w:hAnsi="" w:eastAsia=""/>
          <w:b w:val="0"/>
          <w:i w:val="0"/>
          <w:color w:val="1A1A1A"/>
          <w:sz w:val="20"/>
        </w:rPr>
        <w:t>Indian Health Service. (2024). IHS profile, October 2024. U.S. Department of Health and Human Services.</w:t>
      </w:r>
    </w:p>
    <w:p>
      <w:pPr>
        <w:autoSpaceDN w:val="0"/>
        <w:tabs>
          <w:tab w:pos="388" w:val="left"/>
        </w:tabs>
        <w:autoSpaceDE w:val="0"/>
        <w:widowControl/>
        <w:spacing w:line="230" w:lineRule="exact" w:before="76" w:after="0"/>
        <w:ind w:left="28" w:right="432" w:firstLine="0"/>
        <w:jc w:val="left"/>
      </w:pPr>
      <w:r>
        <w:rPr>
          <w:rFonts w:ascii="" w:hAnsi="" w:eastAsia=""/>
          <w:b w:val="0"/>
          <w:i w:val="0"/>
          <w:color w:val="1A1A1A"/>
          <w:sz w:val="20"/>
        </w:rPr>
        <w:t xml:space="preserve">Office of Minority Health. (2024). Profile: American Indian/Alaska Native. U.S. Department of Health and </w:t>
      </w:r>
      <w:r>
        <w:rPr>
          <w:rFonts w:ascii="" w:hAnsi="" w:eastAsia=""/>
          <w:b w:val="0"/>
          <w:i w:val="0"/>
          <w:color w:val="1A1A1A"/>
          <w:sz w:val="20"/>
        </w:rPr>
        <w:t>Human Services.</w:t>
      </w:r>
    </w:p>
    <w:p>
      <w:pPr>
        <w:autoSpaceDN w:val="0"/>
        <w:tabs>
          <w:tab w:pos="388" w:val="left"/>
        </w:tabs>
        <w:autoSpaceDE w:val="0"/>
        <w:widowControl/>
        <w:spacing w:line="232" w:lineRule="exact" w:before="80" w:after="3086"/>
        <w:ind w:left="28" w:right="0" w:firstLine="0"/>
        <w:jc w:val="left"/>
      </w:pPr>
      <w:r>
        <w:rPr>
          <w:rFonts w:ascii="" w:hAnsi="" w:eastAsia=""/>
          <w:b w:val="0"/>
          <w:i w:val="0"/>
          <w:color w:val="1A1A1A"/>
          <w:sz w:val="20"/>
        </w:rPr>
        <w:t xml:space="preserve">U.S. Census Bureau. American Community Survey, 5-year public use microdata sample (PUMS), 2020–2024 </w:t>
      </w:r>
      <w:r>
        <w:rPr>
          <w:rFonts w:ascii="" w:hAnsi="" w:eastAsia=""/>
          <w:b w:val="0"/>
          <w:i w:val="0"/>
          <w:color w:val="1A1A1A"/>
          <w:sz w:val="20"/>
        </w:rPr>
        <w:t>release. Released March 5, 2026.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3274"/>
        <w:gridCol w:w="3274"/>
        <w:gridCol w:w="3274"/>
      </w:tblGrid>
      <w:tr>
        <w:trPr>
          <w:trHeight w:hRule="atLeast" w:val="326"/>
        </w:trPr>
        <w:tc>
          <w:tcPr>
            <w:tcW w:type="dxa" w:w="6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168" w:after="0"/>
              <w:ind w:left="22" w:right="0" w:firstLine="0"/>
              <w:jc w:val="left"/>
            </w:pPr>
            <w:r>
              <w:rPr>
                <w:w w:val="98.99999499320984"/>
                <w:rFonts w:ascii="" w:hAnsi="" w:eastAsia=""/>
                <w:b w:val="0"/>
                <w:i w:val="0"/>
                <w:color w:val="888888"/>
                <w:sz w:val="16"/>
              </w:rPr>
              <w:t xml:space="preserve">Indian Health Financing Series — Working Paper </w:t>
            </w:r>
          </w:p>
        </w:tc>
        <w:tc>
          <w:tcPr>
            <w:tcW w:type="dxa" w:w="34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168" w:after="0"/>
              <w:ind w:left="0" w:right="118" w:firstLine="0"/>
              <w:jc w:val="right"/>
            </w:pPr>
            <w:r>
              <w:rPr>
                <w:w w:val="98.99999499320984"/>
                <w:rFonts w:ascii="" w:hAnsi="" w:eastAsia=""/>
                <w:b w:val="0"/>
                <w:i w:val="0"/>
                <w:color w:val="888888"/>
                <w:sz w:val="16"/>
              </w:rPr>
              <w:t>March 2026</w:t>
            </w:r>
          </w:p>
        </w:tc>
        <w:tc>
          <w:tcPr>
            <w:tcW w:type="dxa" w:w="3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8" w:firstLine="0"/>
              <w:jc w:val="righ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5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2240" w:h="15840"/>
      <w:pgMar w:top="354" w:right="1184" w:bottom="356" w:left="1234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