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194560" cy="2743200"/>
            <wp:docPr id="1" name="Picture 1"/>
            <wp:cNvGraphicFramePr>
              <a:graphicFrameLocks noChangeAspect="1"/>
            </wp:cNvGraphicFramePr>
            <a:graphic>
              <a:graphicData uri="http://schemas.openxmlformats.org/drawingml/2006/picture">
                <pic:pic>
                  <pic:nvPicPr>
                    <pic:cNvPr id="0" name="iv_e_mask_final_transparent.png"/>
                    <pic:cNvPicPr/>
                  </pic:nvPicPr>
                  <pic:blipFill>
                    <a:blip r:embed="rId11"/>
                    <a:stretch>
                      <a:fillRect/>
                    </a:stretch>
                  </pic:blipFill>
                  <pic:spPr>
                    <a:xfrm>
                      <a:off x="0" y="0"/>
                      <a:ext cx="2194560" cy="2743200"/>
                    </a:xfrm>
                    <a:prstGeom prst="rect"/>
                  </pic:spPr>
                </pic:pic>
              </a:graphicData>
            </a:graphic>
          </wp:inline>
        </w:drawing>
      </w:r>
    </w:p>
    <w:p>
      <w:pPr>
        <w:jc w:val="center"/>
      </w:pPr>
      <w:r>
        <w:rPr>
          <w:rFonts w:ascii="Calibri" w:hAnsi="Calibri"/>
          <w:color w:val="128A7D"/>
          <w:sz w:val="16"/>
        </w:rPr>
        <w:t>Indian Health Financing Series  |  Revised October 2026</w:t>
      </w:r>
    </w:p>
    <w:p>
      <w:pPr>
        <w:pStyle w:val="Title"/>
        <w:jc w:val="center"/>
      </w:pPr>
      <w:r>
        <w:t xml:space="preserve">AI/AN Health Coverage Trends, 2010–2024: IHS-Access Population vs. Total AIAN </w:t>
        <w:t>Population — and the 2020 Race Question Artifact</w:t>
      </w:r>
    </w:p>
    <w:p>
      <w:pPr>
        <w:pBdr>
          <w:bottom w:val="single" w:sz="12" w:space="1" w:color="128A7D"/>
        </w:pBdr>
      </w:pPr>
    </w:p>
    <w:p>
      <w:pPr>
        <w:jc w:val="center"/>
      </w:pPr>
      <w:r>
        <w:rPr>
          <w:b/>
          <w:color w:val="2E2E2E"/>
          <w:sz w:val="22"/>
        </w:rPr>
        <w:t>Edward J. Fox, PhD</w:t>
      </w:r>
    </w:p>
    <w:p>
      <w:pPr>
        <w:jc w:val="center"/>
      </w:pPr>
      <w:r>
        <w:rPr>
          <w:i/>
          <w:sz w:val="20"/>
        </w:rPr>
        <w:t>IHF Series Paper IV-F · ACS 5-Year PUMS: 2010–2014, 2015–2019, 2020–2024 · 33 states with ≥1,500 AIAN reporting IHS access in 2020–2024</w:t>
      </w:r>
    </w:p>
    <w:p/>
    <w:p>
      <w:pPr/>
      <w:r>
        <w:t xml:space="preserve">The 33-state AIAN population covered by these ACS estimates grew 47 percent between the 2010–2014 and 2020–2024 periods — from 4.36 million to 6.41 million. That headline figure, however, conceals a structural discontinuity driven by the 2020 Census race question redesign. When the 33 states are divided into two analytically meaningful groups— high-IHS states (8 states where at least 25 percent of the self-identified AIAN </w:t>
        <w:t>population reports IHS access) and low-IHS states (25 states where fewer than 25 percent do) — the underlying dynamics diverge sharply. High-IHS states are generally those with large Tribal land bases and many IHS or Tribal facilities.</w:t>
      </w:r>
    </w:p>
    <w:p>
      <w:pPr/>
      <w:r>
        <w:t>The grouping uses 2020–2024 IHS access rates. Applied to 2019, before the race question change, the same 25 percent test identifies 16 states (see The 2020 Race Question by State); the 8 high-IHS states here are the 8 with the highest pre-2020 rates.</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80" w:type="dxa"/>
          <w:bottom w:w="40" w:type="dxa"/>
          <w:right w:w="80" w:type="dxa"/>
        </w:tblCellMar>
      </w:tblPr>
      <w:tblGrid>
        <w:gridCol w:w="1900"/>
        <w:gridCol w:w="1050"/>
        <w:gridCol w:w="1050"/>
        <w:gridCol w:w="1050"/>
        <w:gridCol w:w="1000"/>
        <w:gridCol w:w="3310"/>
      </w:tblGrid>
      <w:tr>
        <w:trPr>
          <w:tblHeader/>
          <w:cantSplit/>
        </w:trPr>
        <w:tc>
          <w:tcPr>
            <w:tcW w:w="1900" w:type="dxa"/>
            <w:shd w:val="clear" w:color="auto" w:fill="128A7D"/>
            <w:vAlign w:val="center"/>
          </w:tcPr>
          <w:p>
            <w:pPr>
              <w:keepNext/>
              <w:spacing w:before="0" w:after="0"/>
              <w:jc w:val="left"/>
            </w:pPr>
            <w:r>
              <w:rPr>
                <w:b/>
                <w:color w:val="FFFFFF"/>
                <w:sz w:val="16"/>
                <w:szCs w:val="16"/>
              </w:rPr>
              <w:t xml:space="preserve">Metric</w:t>
            </w:r>
          </w:p>
        </w:tc>
        <w:tc>
          <w:tcPr>
            <w:tcW w:w="1050" w:type="dxa"/>
            <w:shd w:val="clear" w:color="auto" w:fill="128A7D"/>
            <w:vAlign w:val="center"/>
          </w:tcPr>
          <w:p>
            <w:pPr>
              <w:keepNext/>
              <w:spacing w:before="0" w:after="0"/>
              <w:jc w:val="center"/>
            </w:pPr>
            <w:r>
              <w:rPr>
                <w:b/>
                <w:color w:val="FFFFFF"/>
                <w:sz w:val="16"/>
                <w:szCs w:val="16"/>
              </w:rPr>
              <w:t xml:space="preserve">2010–2014</w:t>
            </w:r>
          </w:p>
        </w:tc>
        <w:tc>
          <w:tcPr>
            <w:tcW w:w="1050" w:type="dxa"/>
            <w:shd w:val="clear" w:color="auto" w:fill="128A7D"/>
            <w:vAlign w:val="center"/>
          </w:tcPr>
          <w:p>
            <w:pPr>
              <w:keepNext/>
              <w:spacing w:before="0" w:after="0"/>
              <w:jc w:val="center"/>
            </w:pPr>
            <w:r>
              <w:rPr>
                <w:b/>
                <w:color w:val="FFFFFF"/>
                <w:sz w:val="16"/>
                <w:szCs w:val="16"/>
              </w:rPr>
              <w:t xml:space="preserve">2015–2019</w:t>
            </w:r>
          </w:p>
        </w:tc>
        <w:tc>
          <w:tcPr>
            <w:tcW w:w="1050" w:type="dxa"/>
            <w:shd w:val="clear" w:color="auto" w:fill="128A7D"/>
            <w:vAlign w:val="center"/>
          </w:tcPr>
          <w:p>
            <w:pPr>
              <w:keepNext/>
              <w:spacing w:before="0" w:after="0"/>
              <w:jc w:val="center"/>
            </w:pPr>
            <w:r>
              <w:rPr>
                <w:b/>
                <w:color w:val="FFFFFF"/>
                <w:sz w:val="16"/>
                <w:szCs w:val="16"/>
              </w:rPr>
              <w:t xml:space="preserve">2020–2024</w:t>
            </w:r>
          </w:p>
        </w:tc>
        <w:tc>
          <w:tcPr>
            <w:tcW w:w="1000" w:type="dxa"/>
            <w:shd w:val="clear" w:color="auto" w:fill="128A7D"/>
            <w:vAlign w:val="center"/>
          </w:tcPr>
          <w:p>
            <w:pPr>
              <w:keepNext/>
              <w:spacing w:before="0" w:after="0"/>
              <w:jc w:val="center"/>
            </w:pPr>
            <w:r>
              <w:rPr>
                <w:b/>
                <w:color w:val="FFFFFF"/>
                <w:sz w:val="16"/>
                <w:szCs w:val="16"/>
              </w:rPr>
              <w:t xml:space="preserve">Δ 2014→24</w:t>
            </w:r>
          </w:p>
        </w:tc>
        <w:tc>
          <w:tcPr>
            <w:tcW w:w="3310" w:type="dxa"/>
            <w:shd w:val="clear" w:color="auto" w:fill="128A7D"/>
            <w:vAlign w:val="center"/>
          </w:tcPr>
          <w:p>
            <w:pPr>
              <w:keepNext/>
              <w:spacing w:before="0" w:after="0"/>
              <w:jc w:val="center"/>
            </w:pPr>
            <w:r>
              <w:rPr>
                <w:b/>
                <w:color w:val="FFFFFF"/>
                <w:sz w:val="16"/>
                <w:szCs w:val="16"/>
              </w:rPr>
              <w:t xml:space="preserve">Interpretation</w:t>
            </w:r>
          </w:p>
        </w:tc>
      </w:tr>
      <w:tr>
        <w:trPr>
          <w:cantSplit/>
        </w:trPr>
        <w:tc>
          <w:tcPr>
            <w:tcW w:w="9360" w:type="dxa"/>
            <w:gridSpan w:val="6"/>
            <w:shd w:val="clear" w:color="auto" w:fill="E3F1EF"/>
            <w:vAlign w:val="center"/>
          </w:tcPr>
          <w:p>
            <w:pPr>
              <w:keepNext/>
              <w:spacing w:before="0" w:after="0"/>
              <w:jc w:val="left"/>
            </w:pPr>
            <w:r>
              <w:rPr>
                <w:b/>
                <w:sz w:val="16"/>
                <w:szCs w:val="16"/>
              </w:rPr>
              <w:t xml:space="preserve">HIGH-IHS STATES (n=8, IHS access ≥25% of AIAN)</w:t>
            </w:r>
          </w:p>
        </w:tc>
      </w:tr>
      <w:tr>
        <w:trPr>
          <w:cantSplit/>
        </w:trPr>
        <w:tc>
          <w:tcPr>
            <w:tcW w:w="1900" w:type="dxa"/>
            <w:vAlign w:val="center"/>
          </w:tcPr>
          <w:p>
            <w:pPr>
              <w:keepNext/>
              <w:spacing w:before="0" w:after="0"/>
              <w:jc w:val="left"/>
            </w:pPr>
            <w:r>
              <w:rPr>
                <w:sz w:val="16"/>
                <w:szCs w:val="16"/>
              </w:rPr>
              <w:t xml:space="preserve">Total AIAN population</w:t>
            </w:r>
          </w:p>
        </w:tc>
        <w:tc>
          <w:tcPr>
            <w:tcW w:w="1050" w:type="dxa"/>
            <w:vAlign w:val="center"/>
          </w:tcPr>
          <w:p>
            <w:pPr>
              <w:keepNext/>
              <w:spacing w:before="0" w:after="0"/>
              <w:jc w:val="center"/>
            </w:pPr>
            <w:r>
              <w:rPr>
                <w:sz w:val="16"/>
                <w:szCs w:val="16"/>
              </w:rPr>
              <w:t xml:space="preserve">1,452,778</w:t>
            </w:r>
          </w:p>
        </w:tc>
        <w:tc>
          <w:tcPr>
            <w:tcW w:w="1050" w:type="dxa"/>
            <w:vAlign w:val="center"/>
          </w:tcPr>
          <w:p>
            <w:pPr>
              <w:keepNext/>
              <w:spacing w:before="0" w:after="0"/>
              <w:jc w:val="center"/>
            </w:pPr>
            <w:r>
              <w:rPr>
                <w:sz w:val="16"/>
                <w:szCs w:val="16"/>
              </w:rPr>
              <w:t xml:space="preserve">1,551,455</w:t>
            </w:r>
          </w:p>
        </w:tc>
        <w:tc>
          <w:tcPr>
            <w:tcW w:w="1050" w:type="dxa"/>
            <w:vAlign w:val="center"/>
          </w:tcPr>
          <w:p>
            <w:pPr>
              <w:keepNext/>
              <w:spacing w:before="0" w:after="0"/>
              <w:jc w:val="center"/>
            </w:pPr>
            <w:r>
              <w:rPr>
                <w:sz w:val="16"/>
                <w:szCs w:val="16"/>
              </w:rPr>
              <w:t xml:space="preserve">1,672,777</w:t>
            </w:r>
          </w:p>
        </w:tc>
        <w:tc>
          <w:tcPr>
            <w:tcW w:w="1000" w:type="dxa"/>
            <w:vAlign w:val="center"/>
          </w:tcPr>
          <w:p>
            <w:pPr>
              <w:keepNext/>
              <w:spacing w:before="0" w:after="0"/>
              <w:jc w:val="center"/>
            </w:pPr>
            <w:r>
              <w:rPr>
                <w:sz w:val="16"/>
                <w:szCs w:val="16"/>
              </w:rPr>
              <w:t xml:space="preserve">+15.1%</w:t>
            </w:r>
          </w:p>
        </w:tc>
        <w:tc>
          <w:tcPr>
            <w:tcW w:w="3310" w:type="dxa"/>
            <w:vAlign w:val="center"/>
          </w:tcPr>
          <w:p>
            <w:pPr>
              <w:keepNext/>
              <w:spacing w:before="0" w:after="0"/>
              <w:jc w:val="left"/>
            </w:pPr>
            <w:r>
              <w:rPr>
                <w:sz w:val="16"/>
                <w:szCs w:val="16"/>
              </w:rPr>
              <w:t xml:space="preserve">Steady organic growth; no discontinuity at 2020</w:t>
            </w:r>
          </w:p>
        </w:tc>
      </w:tr>
      <w:tr>
        <w:trPr>
          <w:cantSplit/>
        </w:trPr>
        <w:tc>
          <w:tcPr>
            <w:tcW w:w="1900" w:type="dxa"/>
            <w:vAlign w:val="center"/>
          </w:tcPr>
          <w:p>
            <w:pPr>
              <w:keepNext/>
              <w:spacing w:before="0" w:after="0"/>
              <w:jc w:val="left"/>
            </w:pPr>
            <w:r>
              <w:rPr>
                <w:sz w:val="16"/>
                <w:szCs w:val="16"/>
              </w:rPr>
              <w:t xml:space="preserve">AI/AN w/ IHS access</w:t>
            </w:r>
          </w:p>
        </w:tc>
        <w:tc>
          <w:tcPr>
            <w:tcW w:w="1050" w:type="dxa"/>
            <w:vAlign w:val="center"/>
          </w:tcPr>
          <w:p>
            <w:pPr>
              <w:keepNext/>
              <w:spacing w:before="0" w:after="0"/>
              <w:jc w:val="center"/>
            </w:pPr>
            <w:r>
              <w:rPr>
                <w:sz w:val="16"/>
                <w:szCs w:val="16"/>
              </w:rPr>
              <w:t xml:space="preserve">902,174</w:t>
            </w:r>
          </w:p>
        </w:tc>
        <w:tc>
          <w:tcPr>
            <w:tcW w:w="1050" w:type="dxa"/>
            <w:vAlign w:val="center"/>
          </w:tcPr>
          <w:p>
            <w:pPr>
              <w:keepNext/>
              <w:spacing w:before="0" w:after="0"/>
              <w:jc w:val="center"/>
            </w:pPr>
            <w:r>
              <w:rPr>
                <w:sz w:val="16"/>
                <w:szCs w:val="16"/>
              </w:rPr>
              <w:t xml:space="preserve">970,207</w:t>
            </w:r>
          </w:p>
        </w:tc>
        <w:tc>
          <w:tcPr>
            <w:tcW w:w="1050" w:type="dxa"/>
            <w:vAlign w:val="center"/>
          </w:tcPr>
          <w:p>
            <w:pPr>
              <w:keepNext/>
              <w:spacing w:before="0" w:after="0"/>
              <w:jc w:val="center"/>
            </w:pPr>
            <w:r>
              <w:rPr>
                <w:sz w:val="16"/>
                <w:szCs w:val="16"/>
              </w:rPr>
              <w:t xml:space="preserve">940,716</w:t>
            </w:r>
          </w:p>
        </w:tc>
        <w:tc>
          <w:tcPr>
            <w:tcW w:w="1000" w:type="dxa"/>
            <w:vAlign w:val="center"/>
          </w:tcPr>
          <w:p>
            <w:pPr>
              <w:keepNext/>
              <w:spacing w:before="0" w:after="0"/>
              <w:jc w:val="center"/>
            </w:pPr>
            <w:r>
              <w:rPr>
                <w:sz w:val="16"/>
                <w:szCs w:val="16"/>
              </w:rPr>
              <w:t xml:space="preserve">+4.3%</w:t>
            </w:r>
          </w:p>
        </w:tc>
        <w:tc>
          <w:tcPr>
            <w:tcW w:w="3310" w:type="dxa"/>
            <w:vAlign w:val="center"/>
          </w:tcPr>
          <w:p>
            <w:pPr>
              <w:keepNext/>
              <w:spacing w:before="0" w:after="0"/>
              <w:jc w:val="left"/>
            </w:pPr>
            <w:r>
              <w:rPr>
                <w:sz w:val="16"/>
                <w:szCs w:val="16"/>
              </w:rPr>
              <w:t xml:space="preserve">Modest growth then slight decline; consistent with NPIRS coverage</w:t>
            </w:r>
          </w:p>
        </w:tc>
      </w:tr>
      <w:tr>
        <w:trPr>
          <w:cantSplit/>
        </w:trPr>
        <w:tc>
          <w:tcPr>
            <w:tcW w:w="1900" w:type="dxa"/>
            <w:vAlign w:val="center"/>
          </w:tcPr>
          <w:p>
            <w:pPr>
              <w:keepNext/>
              <w:spacing w:before="0" w:after="0"/>
              <w:jc w:val="left"/>
            </w:pPr>
            <w:r>
              <w:rPr>
                <w:sz w:val="16"/>
                <w:szCs w:val="16"/>
              </w:rPr>
              <w:t xml:space="preserve">IHS as % of AIAN</w:t>
            </w:r>
          </w:p>
        </w:tc>
        <w:tc>
          <w:tcPr>
            <w:tcW w:w="1050" w:type="dxa"/>
            <w:vAlign w:val="center"/>
          </w:tcPr>
          <w:p>
            <w:pPr>
              <w:keepNext/>
              <w:spacing w:before="0" w:after="0"/>
              <w:jc w:val="center"/>
            </w:pPr>
            <w:r>
              <w:rPr>
                <w:sz w:val="16"/>
                <w:szCs w:val="16"/>
              </w:rPr>
              <w:t xml:space="preserve">62.1%</w:t>
            </w:r>
          </w:p>
        </w:tc>
        <w:tc>
          <w:tcPr>
            <w:tcW w:w="1050" w:type="dxa"/>
            <w:vAlign w:val="center"/>
          </w:tcPr>
          <w:p>
            <w:pPr>
              <w:keepNext/>
              <w:spacing w:before="0" w:after="0"/>
              <w:jc w:val="center"/>
            </w:pPr>
            <w:r>
              <w:rPr>
                <w:sz w:val="16"/>
                <w:szCs w:val="16"/>
              </w:rPr>
              <w:t xml:space="preserve">62.5%</w:t>
            </w:r>
          </w:p>
        </w:tc>
        <w:tc>
          <w:tcPr>
            <w:tcW w:w="1050" w:type="dxa"/>
            <w:vAlign w:val="center"/>
          </w:tcPr>
          <w:p>
            <w:pPr>
              <w:keepNext/>
              <w:spacing w:before="0" w:after="0"/>
              <w:jc w:val="center"/>
            </w:pPr>
            <w:r>
              <w:rPr>
                <w:sz w:val="16"/>
                <w:szCs w:val="16"/>
              </w:rPr>
              <w:t xml:space="preserve">56.2%</w:t>
            </w:r>
          </w:p>
        </w:tc>
        <w:tc>
          <w:tcPr>
            <w:tcW w:w="1000" w:type="dxa"/>
            <w:vAlign w:val="center"/>
          </w:tcPr>
          <w:p>
            <w:pPr>
              <w:keepNext/>
              <w:spacing w:before="0" w:after="0"/>
              <w:jc w:val="center"/>
            </w:pPr>
            <w:r>
              <w:rPr>
                <w:sz w:val="16"/>
                <w:szCs w:val="16"/>
              </w:rPr>
              <w:t xml:space="preserve">−5.9 pp</w:t>
            </w:r>
          </w:p>
        </w:tc>
        <w:tc>
          <w:tcPr>
            <w:tcW w:w="3310" w:type="dxa"/>
            <w:vAlign w:val="center"/>
          </w:tcPr>
          <w:p>
            <w:pPr>
              <w:keepNext/>
              <w:spacing w:before="0" w:after="0"/>
              <w:jc w:val="left"/>
            </w:pPr>
            <w:r>
              <w:rPr>
                <w:sz w:val="16"/>
                <w:szCs w:val="16"/>
              </w:rPr>
              <w:t xml:space="preserve">Dilution from AIAN pop. growth outpacing IHS enrollment</w:t>
            </w:r>
          </w:p>
        </w:tc>
      </w:tr>
      <w:tr>
        <w:trPr>
          <w:cantSplit/>
        </w:trPr>
        <w:tc>
          <w:tcPr>
            <w:tcW w:w="1900" w:type="dxa"/>
            <w:vAlign w:val="center"/>
          </w:tcPr>
          <w:p>
            <w:pPr>
              <w:keepNext/>
              <w:spacing w:before="0" w:after="0"/>
              <w:jc w:val="left"/>
            </w:pPr>
            <w:r>
              <w:rPr>
                <w:sz w:val="16"/>
                <w:szCs w:val="16"/>
              </w:rPr>
              <w:t xml:space="preserve">Medicaid rate (wtd. avg.)</w:t>
            </w:r>
          </w:p>
        </w:tc>
        <w:tc>
          <w:tcPr>
            <w:tcW w:w="1050" w:type="dxa"/>
            <w:vAlign w:val="center"/>
          </w:tcPr>
          <w:p>
            <w:pPr>
              <w:keepNext/>
              <w:spacing w:before="0" w:after="0"/>
              <w:jc w:val="center"/>
            </w:pPr>
            <w:r>
              <w:rPr>
                <w:sz w:val="16"/>
                <w:szCs w:val="16"/>
              </w:rPr>
              <w:t xml:space="preserve">31.6%</w:t>
            </w:r>
          </w:p>
        </w:tc>
        <w:tc>
          <w:tcPr>
            <w:tcW w:w="1050" w:type="dxa"/>
            <w:vAlign w:val="center"/>
          </w:tcPr>
          <w:p>
            <w:pPr>
              <w:keepNext/>
              <w:spacing w:before="0" w:after="0"/>
              <w:jc w:val="center"/>
            </w:pPr>
            <w:r>
              <w:rPr>
                <w:sz w:val="16"/>
                <w:szCs w:val="16"/>
              </w:rPr>
              <w:t xml:space="preserve">35.6%</w:t>
            </w:r>
          </w:p>
        </w:tc>
        <w:tc>
          <w:tcPr>
            <w:tcW w:w="1050" w:type="dxa"/>
            <w:vAlign w:val="center"/>
          </w:tcPr>
          <w:p>
            <w:pPr>
              <w:keepNext/>
              <w:spacing w:before="0" w:after="0"/>
              <w:jc w:val="center"/>
            </w:pPr>
            <w:r>
              <w:rPr>
                <w:sz w:val="16"/>
                <w:szCs w:val="16"/>
              </w:rPr>
              <w:t xml:space="preserve">36.8%</w:t>
            </w:r>
          </w:p>
        </w:tc>
        <w:tc>
          <w:tcPr>
            <w:tcW w:w="1000" w:type="dxa"/>
            <w:vAlign w:val="center"/>
          </w:tcPr>
          <w:p>
            <w:pPr>
              <w:keepNext/>
              <w:spacing w:before="0" w:after="0"/>
              <w:jc w:val="center"/>
            </w:pPr>
            <w:r>
              <w:rPr>
                <w:sz w:val="16"/>
                <w:szCs w:val="16"/>
              </w:rPr>
              <w:t xml:space="preserve">+5.3 pp</w:t>
            </w:r>
          </w:p>
        </w:tc>
        <w:tc>
          <w:tcPr>
            <w:tcW w:w="3310" w:type="dxa"/>
            <w:vAlign w:val="center"/>
          </w:tcPr>
          <w:p>
            <w:pPr>
              <w:keepNext/>
              <w:spacing w:before="0" w:after="0"/>
              <w:jc w:val="left"/>
            </w:pPr>
            <w:r>
              <w:rPr>
                <w:sz w:val="16"/>
                <w:szCs w:val="16"/>
              </w:rPr>
              <w:t xml:space="preserve">Meaningful expansion gains in AK, NM, MT</w:t>
            </w:r>
          </w:p>
        </w:tc>
      </w:tr>
      <w:tr>
        <w:trPr>
          <w:cantSplit/>
        </w:trPr>
        <w:tc>
          <w:tcPr>
            <w:tcW w:w="1900" w:type="dxa"/>
            <w:vAlign w:val="center"/>
          </w:tcPr>
          <w:p>
            <w:pPr>
              <w:keepNext/>
              <w:spacing w:before="0" w:after="0"/>
              <w:jc w:val="left"/>
            </w:pPr>
            <w:r>
              <w:rPr>
                <w:sz w:val="16"/>
                <w:szCs w:val="16"/>
              </w:rPr>
              <w:t xml:space="preserve">Uninsured rate (wtd. avg.)</w:t>
            </w:r>
          </w:p>
        </w:tc>
        <w:tc>
          <w:tcPr>
            <w:tcW w:w="1050" w:type="dxa"/>
            <w:vAlign w:val="center"/>
          </w:tcPr>
          <w:p>
            <w:pPr>
              <w:keepNext/>
              <w:spacing w:before="0" w:after="0"/>
              <w:jc w:val="center"/>
            </w:pPr>
            <w:r>
              <w:rPr>
                <w:sz w:val="16"/>
                <w:szCs w:val="16"/>
              </w:rPr>
              <w:t xml:space="preserve">30.5%</w:t>
            </w:r>
          </w:p>
        </w:tc>
        <w:tc>
          <w:tcPr>
            <w:tcW w:w="1050" w:type="dxa"/>
            <w:vAlign w:val="center"/>
          </w:tcPr>
          <w:p>
            <w:pPr>
              <w:keepNext/>
              <w:spacing w:before="0" w:after="0"/>
              <w:jc w:val="center"/>
            </w:pPr>
            <w:r>
              <w:rPr>
                <w:sz w:val="16"/>
                <w:szCs w:val="16"/>
              </w:rPr>
              <w:t xml:space="preserve">23.2%</w:t>
            </w:r>
          </w:p>
        </w:tc>
        <w:tc>
          <w:tcPr>
            <w:tcW w:w="1050" w:type="dxa"/>
            <w:vAlign w:val="center"/>
          </w:tcPr>
          <w:p>
            <w:pPr>
              <w:keepNext/>
              <w:spacing w:before="0" w:after="0"/>
              <w:jc w:val="center"/>
            </w:pPr>
            <w:r>
              <w:rPr>
                <w:sz w:val="16"/>
                <w:szCs w:val="16"/>
              </w:rPr>
              <w:t xml:space="preserve">18.9%</w:t>
            </w:r>
          </w:p>
        </w:tc>
        <w:tc>
          <w:tcPr>
            <w:tcW w:w="1000" w:type="dxa"/>
            <w:vAlign w:val="center"/>
          </w:tcPr>
          <w:p>
            <w:pPr>
              <w:keepNext/>
              <w:spacing w:before="0" w:after="0"/>
              <w:jc w:val="center"/>
            </w:pPr>
            <w:r>
              <w:rPr>
                <w:sz w:val="16"/>
                <w:szCs w:val="16"/>
              </w:rPr>
              <w:t xml:space="preserve">−11.6 pp</w:t>
            </w:r>
          </w:p>
        </w:tc>
        <w:tc>
          <w:tcPr>
            <w:tcW w:w="3310" w:type="dxa"/>
            <w:vAlign w:val="center"/>
          </w:tcPr>
          <w:p>
            <w:pPr>
              <w:keepNext/>
              <w:spacing w:before="0" w:after="0"/>
              <w:jc w:val="left"/>
            </w:pPr>
            <w:r>
              <w:rPr>
                <w:sz w:val="16"/>
                <w:szCs w:val="16"/>
              </w:rPr>
              <w:t xml:space="preserve">Largest uninsured reduction of any group; ACA impact clear</w:t>
            </w:r>
          </w:p>
        </w:tc>
      </w:tr>
      <w:tr>
        <w:trPr>
          <w:cantSplit/>
        </w:trPr>
        <w:tc>
          <w:tcPr>
            <w:tcW w:w="9360" w:type="dxa"/>
            <w:gridSpan w:val="6"/>
            <w:shd w:val="clear" w:color="auto" w:fill="E3F1EF"/>
            <w:vAlign w:val="center"/>
          </w:tcPr>
          <w:p>
            <w:pPr>
              <w:keepNext/>
              <w:spacing w:before="0" w:after="0"/>
              <w:jc w:val="left"/>
            </w:pPr>
            <w:r>
              <w:rPr>
                <w:b/>
                <w:sz w:val="16"/>
                <w:szCs w:val="16"/>
              </w:rPr>
              <w:t xml:space="preserve">LOW-IHS STATES (n=25, IHS access &lt;25% of AIAN)</w:t>
            </w:r>
          </w:p>
        </w:tc>
      </w:tr>
      <w:tr>
        <w:trPr>
          <w:cantSplit/>
        </w:trPr>
        <w:tc>
          <w:tcPr>
            <w:tcW w:w="1900" w:type="dxa"/>
            <w:vAlign w:val="center"/>
          </w:tcPr>
          <w:p>
            <w:pPr>
              <w:keepNext/>
              <w:spacing w:before="0" w:after="0"/>
              <w:jc w:val="left"/>
            </w:pPr>
            <w:r>
              <w:rPr>
                <w:sz w:val="16"/>
                <w:szCs w:val="16"/>
              </w:rPr>
              <w:t xml:space="preserve">Total AIAN population</w:t>
            </w:r>
          </w:p>
        </w:tc>
        <w:tc>
          <w:tcPr>
            <w:tcW w:w="1050" w:type="dxa"/>
            <w:vAlign w:val="center"/>
          </w:tcPr>
          <w:p>
            <w:pPr>
              <w:keepNext/>
              <w:spacing w:before="0" w:after="0"/>
              <w:jc w:val="center"/>
            </w:pPr>
            <w:r>
              <w:rPr>
                <w:sz w:val="16"/>
                <w:szCs w:val="16"/>
              </w:rPr>
              <w:t xml:space="preserve">2,911,862</w:t>
            </w:r>
          </w:p>
        </w:tc>
        <w:tc>
          <w:tcPr>
            <w:tcW w:w="1050" w:type="dxa"/>
            <w:vAlign w:val="center"/>
          </w:tcPr>
          <w:p>
            <w:pPr>
              <w:keepNext/>
              <w:spacing w:before="0" w:after="0"/>
              <w:jc w:val="center"/>
            </w:pPr>
            <w:r>
              <w:rPr>
                <w:sz w:val="16"/>
                <w:szCs w:val="16"/>
              </w:rPr>
              <w:t xml:space="preserve">3,179,939</w:t>
            </w:r>
          </w:p>
        </w:tc>
        <w:tc>
          <w:tcPr>
            <w:tcW w:w="1050" w:type="dxa"/>
            <w:vAlign w:val="center"/>
          </w:tcPr>
          <w:p>
            <w:pPr>
              <w:keepNext/>
              <w:spacing w:before="0" w:after="0"/>
              <w:jc w:val="center"/>
            </w:pPr>
            <w:r>
              <w:rPr>
                <w:sz w:val="16"/>
                <w:szCs w:val="16"/>
              </w:rPr>
              <w:t xml:space="preserve">4,739,827</w:t>
            </w:r>
          </w:p>
        </w:tc>
        <w:tc>
          <w:tcPr>
            <w:tcW w:w="1000" w:type="dxa"/>
            <w:vAlign w:val="center"/>
          </w:tcPr>
          <w:p>
            <w:pPr>
              <w:keepNext/>
              <w:spacing w:before="0" w:after="0"/>
              <w:jc w:val="center"/>
            </w:pPr>
            <w:r>
              <w:rPr>
                <w:sz w:val="16"/>
                <w:szCs w:val="16"/>
              </w:rPr>
              <w:t xml:space="preserve">+62.8%</w:t>
            </w:r>
          </w:p>
        </w:tc>
        <w:tc>
          <w:tcPr>
            <w:tcW w:w="3310" w:type="dxa"/>
            <w:vAlign w:val="center"/>
          </w:tcPr>
          <w:p>
            <w:pPr>
              <w:keepNext/>
              <w:spacing w:before="0" w:after="0"/>
              <w:jc w:val="left"/>
            </w:pPr>
            <w:r>
              <w:rPr>
                <w:sz w:val="16"/>
                <w:szCs w:val="16"/>
              </w:rPr>
              <w:t xml:space="preserve">⚠ Surge in 2019→24 period (+49.1%); almost entirely post-2020 race question redesign</w:t>
            </w:r>
          </w:p>
        </w:tc>
      </w:tr>
      <w:tr>
        <w:trPr>
          <w:cantSplit/>
        </w:trPr>
        <w:tc>
          <w:tcPr>
            <w:tcW w:w="1900" w:type="dxa"/>
            <w:vAlign w:val="center"/>
          </w:tcPr>
          <w:p>
            <w:pPr>
              <w:keepNext/>
              <w:spacing w:before="0" w:after="0"/>
              <w:jc w:val="left"/>
            </w:pPr>
            <w:r>
              <w:rPr>
                <w:sz w:val="16"/>
                <w:szCs w:val="16"/>
              </w:rPr>
              <w:t xml:space="preserve">AI/AN w/ IHS access</w:t>
            </w:r>
          </w:p>
        </w:tc>
        <w:tc>
          <w:tcPr>
            <w:tcW w:w="1050" w:type="dxa"/>
            <w:vAlign w:val="center"/>
          </w:tcPr>
          <w:p>
            <w:pPr>
              <w:keepNext/>
              <w:spacing w:before="0" w:after="0"/>
              <w:jc w:val="center"/>
            </w:pPr>
            <w:r>
              <w:rPr>
                <w:sz w:val="16"/>
                <w:szCs w:val="16"/>
              </w:rPr>
              <w:t xml:space="preserve">382,242</w:t>
            </w:r>
          </w:p>
        </w:tc>
        <w:tc>
          <w:tcPr>
            <w:tcW w:w="1050" w:type="dxa"/>
            <w:vAlign w:val="center"/>
          </w:tcPr>
          <w:p>
            <w:pPr>
              <w:keepNext/>
              <w:spacing w:before="0" w:after="0"/>
              <w:jc w:val="center"/>
            </w:pPr>
            <w:r>
              <w:rPr>
                <w:sz w:val="16"/>
                <w:szCs w:val="16"/>
              </w:rPr>
              <w:t xml:space="preserve">434,856</w:t>
            </w:r>
          </w:p>
        </w:tc>
        <w:tc>
          <w:tcPr>
            <w:tcW w:w="1050" w:type="dxa"/>
            <w:vAlign w:val="center"/>
          </w:tcPr>
          <w:p>
            <w:pPr>
              <w:keepNext/>
              <w:spacing w:before="0" w:after="0"/>
              <w:jc w:val="center"/>
            </w:pPr>
            <w:r>
              <w:rPr>
                <w:sz w:val="16"/>
                <w:szCs w:val="16"/>
              </w:rPr>
              <w:t xml:space="preserve">343,418</w:t>
            </w:r>
          </w:p>
        </w:tc>
        <w:tc>
          <w:tcPr>
            <w:tcW w:w="1000" w:type="dxa"/>
            <w:vAlign w:val="center"/>
          </w:tcPr>
          <w:p>
            <w:pPr>
              <w:keepNext/>
              <w:spacing w:before="0" w:after="0"/>
              <w:jc w:val="center"/>
            </w:pPr>
            <w:r>
              <w:rPr>
                <w:sz w:val="16"/>
                <w:szCs w:val="16"/>
              </w:rPr>
              <w:t xml:space="preserve">−10.2%</w:t>
            </w:r>
          </w:p>
        </w:tc>
        <w:tc>
          <w:tcPr>
            <w:tcW w:w="3310" w:type="dxa"/>
            <w:vAlign w:val="center"/>
          </w:tcPr>
          <w:p>
            <w:pPr>
              <w:keepNext/>
              <w:spacing w:before="0" w:after="0"/>
              <w:jc w:val="left"/>
            </w:pPr>
            <w:r>
              <w:rPr>
                <w:sz w:val="16"/>
                <w:szCs w:val="16"/>
              </w:rPr>
              <w:t xml:space="preserve">IHS access count actually declined despite 63% pop. growth — enrollment did not follow</w:t>
            </w:r>
          </w:p>
        </w:tc>
      </w:tr>
      <w:tr>
        <w:trPr>
          <w:cantSplit/>
        </w:trPr>
        <w:tc>
          <w:tcPr>
            <w:tcW w:w="1900" w:type="dxa"/>
            <w:vAlign w:val="center"/>
          </w:tcPr>
          <w:p>
            <w:pPr>
              <w:keepNext/>
              <w:spacing w:before="0" w:after="0"/>
              <w:jc w:val="left"/>
            </w:pPr>
            <w:r>
              <w:rPr>
                <w:sz w:val="16"/>
                <w:szCs w:val="16"/>
              </w:rPr>
              <w:t xml:space="preserve">IHS as % of AIAN</w:t>
            </w:r>
          </w:p>
        </w:tc>
        <w:tc>
          <w:tcPr>
            <w:tcW w:w="1050" w:type="dxa"/>
            <w:vAlign w:val="center"/>
          </w:tcPr>
          <w:p>
            <w:pPr>
              <w:keepNext/>
              <w:spacing w:before="0" w:after="0"/>
              <w:jc w:val="center"/>
            </w:pPr>
            <w:r>
              <w:rPr>
                <w:sz w:val="16"/>
                <w:szCs w:val="16"/>
              </w:rPr>
              <w:t xml:space="preserve">13.1%</w:t>
            </w:r>
          </w:p>
        </w:tc>
        <w:tc>
          <w:tcPr>
            <w:tcW w:w="1050" w:type="dxa"/>
            <w:vAlign w:val="center"/>
          </w:tcPr>
          <w:p>
            <w:pPr>
              <w:keepNext/>
              <w:spacing w:before="0" w:after="0"/>
              <w:jc w:val="center"/>
            </w:pPr>
            <w:r>
              <w:rPr>
                <w:sz w:val="16"/>
                <w:szCs w:val="16"/>
              </w:rPr>
              <w:t xml:space="preserve">13.7%</w:t>
            </w:r>
          </w:p>
        </w:tc>
        <w:tc>
          <w:tcPr>
            <w:tcW w:w="1050" w:type="dxa"/>
            <w:vAlign w:val="center"/>
          </w:tcPr>
          <w:p>
            <w:pPr>
              <w:keepNext/>
              <w:spacing w:before="0" w:after="0"/>
              <w:jc w:val="center"/>
            </w:pPr>
            <w:r>
              <w:rPr>
                <w:sz w:val="16"/>
                <w:szCs w:val="16"/>
              </w:rPr>
              <w:t xml:space="preserve">7.2%</w:t>
            </w:r>
          </w:p>
        </w:tc>
        <w:tc>
          <w:tcPr>
            <w:tcW w:w="1000" w:type="dxa"/>
            <w:vAlign w:val="center"/>
          </w:tcPr>
          <w:p>
            <w:pPr>
              <w:keepNext/>
              <w:spacing w:before="0" w:after="0"/>
              <w:jc w:val="center"/>
            </w:pPr>
            <w:r>
              <w:rPr>
                <w:sz w:val="16"/>
                <w:szCs w:val="16"/>
              </w:rPr>
              <w:t xml:space="preserve">−5.9 pp</w:t>
            </w:r>
          </w:p>
        </w:tc>
        <w:tc>
          <w:tcPr>
            <w:tcW w:w="3310" w:type="dxa"/>
            <w:vAlign w:val="center"/>
          </w:tcPr>
          <w:p>
            <w:pPr>
              <w:keepNext/>
              <w:spacing w:before="0" w:after="0"/>
              <w:jc w:val="left"/>
            </w:pPr>
            <w:r>
              <w:rPr>
                <w:sz w:val="16"/>
                <w:szCs w:val="16"/>
              </w:rPr>
              <w:t xml:space="preserve">Rate halved in 2020–24 period; denominator inflated, numerator flat</w:t>
            </w:r>
          </w:p>
        </w:tc>
      </w:tr>
      <w:tr>
        <w:trPr>
          <w:cantSplit/>
        </w:trPr>
        <w:tc>
          <w:tcPr>
            <w:tcW w:w="1900" w:type="dxa"/>
            <w:vAlign w:val="center"/>
          </w:tcPr>
          <w:p>
            <w:pPr>
              <w:keepNext/>
              <w:spacing w:before="0" w:after="0"/>
              <w:jc w:val="left"/>
            </w:pPr>
            <w:r>
              <w:rPr>
                <w:sz w:val="16"/>
                <w:szCs w:val="16"/>
              </w:rPr>
              <w:t xml:space="preserve">Medicaid rate (wtd. avg.)</w:t>
            </w:r>
          </w:p>
        </w:tc>
        <w:tc>
          <w:tcPr>
            <w:tcW w:w="1050" w:type="dxa"/>
            <w:vAlign w:val="center"/>
          </w:tcPr>
          <w:p>
            <w:pPr>
              <w:keepNext/>
              <w:spacing w:before="0" w:after="0"/>
              <w:jc w:val="center"/>
            </w:pPr>
            <w:r>
              <w:rPr>
                <w:sz w:val="16"/>
                <w:szCs w:val="16"/>
              </w:rPr>
              <w:t xml:space="preserve">28.6%</w:t>
            </w:r>
          </w:p>
        </w:tc>
        <w:tc>
          <w:tcPr>
            <w:tcW w:w="1050" w:type="dxa"/>
            <w:vAlign w:val="center"/>
          </w:tcPr>
          <w:p>
            <w:pPr>
              <w:keepNext/>
              <w:spacing w:before="0" w:after="0"/>
              <w:jc w:val="center"/>
            </w:pPr>
            <w:r>
              <w:rPr>
                <w:sz w:val="16"/>
                <w:szCs w:val="16"/>
              </w:rPr>
              <w:t xml:space="preserve">31.9%</w:t>
            </w:r>
          </w:p>
        </w:tc>
        <w:tc>
          <w:tcPr>
            <w:tcW w:w="1050" w:type="dxa"/>
            <w:vAlign w:val="center"/>
          </w:tcPr>
          <w:p>
            <w:pPr>
              <w:keepNext/>
              <w:spacing w:before="0" w:after="0"/>
              <w:jc w:val="center"/>
            </w:pPr>
            <w:r>
              <w:rPr>
                <w:sz w:val="16"/>
                <w:szCs w:val="16"/>
              </w:rPr>
              <w:t xml:space="preserve">29.8%</w:t>
            </w:r>
          </w:p>
        </w:tc>
        <w:tc>
          <w:tcPr>
            <w:tcW w:w="1000" w:type="dxa"/>
            <w:vAlign w:val="center"/>
          </w:tcPr>
          <w:p>
            <w:pPr>
              <w:keepNext/>
              <w:spacing w:before="0" w:after="0"/>
              <w:jc w:val="center"/>
            </w:pPr>
            <w:r>
              <w:rPr>
                <w:sz w:val="16"/>
                <w:szCs w:val="16"/>
              </w:rPr>
              <w:t xml:space="preserve">+1.1 pp</w:t>
            </w:r>
          </w:p>
        </w:tc>
        <w:tc>
          <w:tcPr>
            <w:tcW w:w="3310" w:type="dxa"/>
            <w:vAlign w:val="center"/>
          </w:tcPr>
          <w:p>
            <w:pPr>
              <w:keepNext/>
              <w:spacing w:before="0" w:after="0"/>
              <w:jc w:val="left"/>
            </w:pPr>
            <w:r>
              <w:rPr>
                <w:sz w:val="16"/>
                <w:szCs w:val="16"/>
              </w:rPr>
              <w:t xml:space="preserve">Minimal change; new self-identifiers do not show Medicaid enrollment patterns</w:t>
            </w:r>
          </w:p>
        </w:tc>
      </w:tr>
      <w:tr>
        <w:trPr>
          <w:cantSplit/>
        </w:trPr>
        <w:tc>
          <w:tcPr>
            <w:tcW w:w="1900" w:type="dxa"/>
            <w:vAlign w:val="center"/>
          </w:tcPr>
          <w:p>
            <w:pPr>
              <w:keepNext/>
              <w:spacing w:before="0" w:after="0"/>
              <w:jc w:val="left"/>
            </w:pPr>
            <w:r>
              <w:rPr>
                <w:sz w:val="16"/>
                <w:szCs w:val="16"/>
              </w:rPr>
              <w:t xml:space="preserve">Uninsured rate (wtd. avg.)</w:t>
            </w:r>
          </w:p>
        </w:tc>
        <w:tc>
          <w:tcPr>
            <w:tcW w:w="1050" w:type="dxa"/>
            <w:vAlign w:val="center"/>
          </w:tcPr>
          <w:p>
            <w:pPr>
              <w:keepNext/>
              <w:spacing w:before="0" w:after="0"/>
              <w:jc w:val="center"/>
            </w:pPr>
            <w:r>
              <w:rPr>
                <w:sz w:val="16"/>
                <w:szCs w:val="16"/>
              </w:rPr>
              <w:t xml:space="preserve">20.1%</w:t>
            </w:r>
          </w:p>
        </w:tc>
        <w:tc>
          <w:tcPr>
            <w:tcW w:w="1050" w:type="dxa"/>
            <w:vAlign w:val="center"/>
          </w:tcPr>
          <w:p>
            <w:pPr>
              <w:keepNext/>
              <w:spacing w:before="0" w:after="0"/>
              <w:jc w:val="center"/>
            </w:pPr>
            <w:r>
              <w:rPr>
                <w:sz w:val="16"/>
                <w:szCs w:val="16"/>
              </w:rPr>
              <w:t xml:space="preserve">12.9%</w:t>
            </w:r>
          </w:p>
        </w:tc>
        <w:tc>
          <w:tcPr>
            <w:tcW w:w="1050" w:type="dxa"/>
            <w:vAlign w:val="center"/>
          </w:tcPr>
          <w:p>
            <w:pPr>
              <w:keepNext/>
              <w:spacing w:before="0" w:after="0"/>
              <w:jc w:val="center"/>
            </w:pPr>
            <w:r>
              <w:rPr>
                <w:sz w:val="16"/>
                <w:szCs w:val="16"/>
              </w:rPr>
              <w:t xml:space="preserve">12.4%</w:t>
            </w:r>
          </w:p>
        </w:tc>
        <w:tc>
          <w:tcPr>
            <w:tcW w:w="1000" w:type="dxa"/>
            <w:vAlign w:val="center"/>
          </w:tcPr>
          <w:p>
            <w:pPr>
              <w:keepNext/>
              <w:spacing w:before="0" w:after="0"/>
              <w:jc w:val="center"/>
            </w:pPr>
            <w:r>
              <w:rPr>
                <w:sz w:val="16"/>
                <w:szCs w:val="16"/>
              </w:rPr>
              <w:t xml:space="preserve">−7.7 pp</w:t>
            </w:r>
          </w:p>
        </w:tc>
        <w:tc>
          <w:tcPr>
            <w:tcW w:w="3310" w:type="dxa"/>
            <w:vAlign w:val="center"/>
          </w:tcPr>
          <w:p>
            <w:pPr>
              <w:keepNext/>
              <w:spacing w:before="0" w:after="0"/>
              <w:jc w:val="left"/>
            </w:pPr>
            <w:r>
              <w:rPr>
                <w:sz w:val="16"/>
                <w:szCs w:val="16"/>
              </w:rPr>
              <w:t xml:space="preserve">Improvement largely concentrated in 2014→19 period; 2019→24 nearly flat</w:t>
            </w:r>
          </w:p>
        </w:tc>
      </w:tr>
      <w:tr>
        <w:trPr>
          <w:cantSplit/>
        </w:trPr>
        <w:tc>
          <w:tcPr>
            <w:tcW w:w="9360" w:type="dxa"/>
            <w:gridSpan w:val="6"/>
            <w:shd w:val="clear" w:color="auto" w:fill="E3F1EF"/>
            <w:vAlign w:val="center"/>
          </w:tcPr>
          <w:p>
            <w:pPr>
              <w:keepNext/>
              <w:spacing w:before="0" w:after="0"/>
              <w:jc w:val="left"/>
            </w:pPr>
            <w:r>
              <w:rPr>
                <w:b/>
                <w:sz w:val="16"/>
                <w:szCs w:val="16"/>
              </w:rPr>
              <w:t xml:space="preserve">ALL 33 STATES (combined)</w:t>
            </w:r>
          </w:p>
        </w:tc>
      </w:tr>
      <w:tr>
        <w:trPr>
          <w:cantSplit/>
        </w:trPr>
        <w:tc>
          <w:tcPr>
            <w:tcW w:w="1900" w:type="dxa"/>
            <w:vAlign w:val="center"/>
          </w:tcPr>
          <w:p>
            <w:pPr>
              <w:keepNext/>
              <w:spacing w:before="0" w:after="0"/>
              <w:jc w:val="left"/>
            </w:pPr>
            <w:r>
              <w:rPr>
                <w:sz w:val="16"/>
                <w:szCs w:val="16"/>
              </w:rPr>
              <w:t xml:space="preserve">Total AIAN population</w:t>
            </w:r>
          </w:p>
        </w:tc>
        <w:tc>
          <w:tcPr>
            <w:tcW w:w="1050" w:type="dxa"/>
            <w:vAlign w:val="center"/>
          </w:tcPr>
          <w:p>
            <w:pPr>
              <w:keepNext/>
              <w:spacing w:before="0" w:after="0"/>
              <w:jc w:val="center"/>
            </w:pPr>
            <w:r>
              <w:rPr>
                <w:sz w:val="16"/>
                <w:szCs w:val="16"/>
              </w:rPr>
              <w:t xml:space="preserve">4,364,640</w:t>
            </w:r>
          </w:p>
        </w:tc>
        <w:tc>
          <w:tcPr>
            <w:tcW w:w="1050" w:type="dxa"/>
            <w:vAlign w:val="center"/>
          </w:tcPr>
          <w:p>
            <w:pPr>
              <w:keepNext/>
              <w:spacing w:before="0" w:after="0"/>
              <w:jc w:val="center"/>
            </w:pPr>
            <w:r>
              <w:rPr>
                <w:sz w:val="16"/>
                <w:szCs w:val="16"/>
              </w:rPr>
              <w:t xml:space="preserve">4,731,394</w:t>
            </w:r>
          </w:p>
        </w:tc>
        <w:tc>
          <w:tcPr>
            <w:tcW w:w="1050" w:type="dxa"/>
            <w:vAlign w:val="center"/>
          </w:tcPr>
          <w:p>
            <w:pPr>
              <w:keepNext/>
              <w:spacing w:before="0" w:after="0"/>
              <w:jc w:val="center"/>
            </w:pPr>
            <w:r>
              <w:rPr>
                <w:sz w:val="16"/>
                <w:szCs w:val="16"/>
              </w:rPr>
              <w:t xml:space="preserve">6,412,604</w:t>
            </w:r>
          </w:p>
        </w:tc>
        <w:tc>
          <w:tcPr>
            <w:tcW w:w="1000" w:type="dxa"/>
            <w:vAlign w:val="center"/>
          </w:tcPr>
          <w:p>
            <w:pPr>
              <w:keepNext/>
              <w:spacing w:before="0" w:after="0"/>
              <w:jc w:val="center"/>
            </w:pPr>
            <w:r>
              <w:rPr>
                <w:sz w:val="16"/>
                <w:szCs w:val="16"/>
              </w:rPr>
              <w:t xml:space="preserve">+46.9%</w:t>
            </w:r>
          </w:p>
        </w:tc>
        <w:tc>
          <w:tcPr>
            <w:tcW w:w="3310" w:type="dxa"/>
            <w:vAlign w:val="center"/>
          </w:tcPr>
          <w:p>
            <w:pPr>
              <w:keepNext/>
              <w:spacing w:before="0" w:after="0"/>
              <w:jc w:val="left"/>
            </w:pPr>
            <w:r>
              <w:rPr>
                <w:sz w:val="16"/>
                <w:szCs w:val="16"/>
              </w:rPr>
              <w:t xml:space="preserve">2020 question redesign dominates the 2019→24 period (+35.5%)</w:t>
            </w:r>
          </w:p>
        </w:tc>
      </w:tr>
      <w:tr>
        <w:trPr>
          <w:cantSplit/>
        </w:trPr>
        <w:tc>
          <w:tcPr>
            <w:tcW w:w="1900" w:type="dxa"/>
            <w:vAlign w:val="center"/>
          </w:tcPr>
          <w:p>
            <w:pPr>
              <w:keepNext/>
              <w:spacing w:before="0" w:after="0"/>
              <w:jc w:val="left"/>
            </w:pPr>
            <w:r>
              <w:rPr>
                <w:sz w:val="16"/>
                <w:szCs w:val="16"/>
              </w:rPr>
              <w:t xml:space="preserve">AI/AN w/ IHS access</w:t>
            </w:r>
          </w:p>
        </w:tc>
        <w:tc>
          <w:tcPr>
            <w:tcW w:w="1050" w:type="dxa"/>
            <w:vAlign w:val="center"/>
          </w:tcPr>
          <w:p>
            <w:pPr>
              <w:keepNext/>
              <w:spacing w:before="0" w:after="0"/>
              <w:jc w:val="center"/>
            </w:pPr>
            <w:r>
              <w:rPr>
                <w:sz w:val="16"/>
                <w:szCs w:val="16"/>
              </w:rPr>
              <w:t xml:space="preserve">1,284,416</w:t>
            </w:r>
          </w:p>
        </w:tc>
        <w:tc>
          <w:tcPr>
            <w:tcW w:w="1050" w:type="dxa"/>
            <w:vAlign w:val="center"/>
          </w:tcPr>
          <w:p>
            <w:pPr>
              <w:keepNext/>
              <w:spacing w:before="0" w:after="0"/>
              <w:jc w:val="center"/>
            </w:pPr>
            <w:r>
              <w:rPr>
                <w:sz w:val="16"/>
                <w:szCs w:val="16"/>
              </w:rPr>
              <w:t xml:space="preserve">1,405,063</w:t>
            </w:r>
          </w:p>
        </w:tc>
        <w:tc>
          <w:tcPr>
            <w:tcW w:w="1050" w:type="dxa"/>
            <w:vAlign w:val="center"/>
          </w:tcPr>
          <w:p>
            <w:pPr>
              <w:keepNext/>
              <w:spacing w:before="0" w:after="0"/>
              <w:jc w:val="center"/>
            </w:pPr>
            <w:r>
              <w:rPr>
                <w:sz w:val="16"/>
                <w:szCs w:val="16"/>
              </w:rPr>
              <w:t xml:space="preserve">1,284,134</w:t>
            </w:r>
          </w:p>
        </w:tc>
        <w:tc>
          <w:tcPr>
            <w:tcW w:w="1000" w:type="dxa"/>
            <w:vAlign w:val="center"/>
          </w:tcPr>
          <w:p>
            <w:pPr>
              <w:keepNext/>
              <w:spacing w:before="0" w:after="0"/>
              <w:jc w:val="center"/>
            </w:pPr>
            <w:r>
              <w:rPr>
                <w:sz w:val="16"/>
                <w:szCs w:val="16"/>
              </w:rPr>
              <w:t xml:space="preserve">≈0.0%</w:t>
            </w:r>
          </w:p>
        </w:tc>
        <w:tc>
          <w:tcPr>
            <w:tcW w:w="3310" w:type="dxa"/>
            <w:vAlign w:val="center"/>
          </w:tcPr>
          <w:p>
            <w:pPr>
              <w:keepNext/>
              <w:spacing w:before="0" w:after="0"/>
              <w:jc w:val="left"/>
            </w:pPr>
            <w:r>
              <w:rPr>
                <w:sz w:val="16"/>
                <w:szCs w:val="16"/>
              </w:rPr>
              <w:t xml:space="preserve">Effectively flat across a decade; enrollment unchanged despite 47% pop. growth</w:t>
            </w:r>
          </w:p>
        </w:tc>
      </w:tr>
      <w:tr>
        <w:trPr>
          <w:cantSplit/>
        </w:trPr>
        <w:tc>
          <w:tcPr>
            <w:tcW w:w="1900" w:type="dxa"/>
            <w:vAlign w:val="center"/>
          </w:tcPr>
          <w:p>
            <w:pPr>
              <w:keepNext/>
              <w:spacing w:before="0" w:after="0"/>
              <w:jc w:val="left"/>
            </w:pPr>
            <w:r>
              <w:rPr>
                <w:sz w:val="16"/>
                <w:szCs w:val="16"/>
              </w:rPr>
              <w:t xml:space="preserve">IHS as % of AIAN</w:t>
            </w:r>
          </w:p>
        </w:tc>
        <w:tc>
          <w:tcPr>
            <w:tcW w:w="1050" w:type="dxa"/>
            <w:vAlign w:val="center"/>
          </w:tcPr>
          <w:p>
            <w:pPr>
              <w:keepNext/>
              <w:spacing w:before="0" w:after="0"/>
              <w:jc w:val="center"/>
            </w:pPr>
            <w:r>
              <w:rPr>
                <w:sz w:val="16"/>
                <w:szCs w:val="16"/>
              </w:rPr>
              <w:t xml:space="preserve">29.4%</w:t>
            </w:r>
          </w:p>
        </w:tc>
        <w:tc>
          <w:tcPr>
            <w:tcW w:w="1050" w:type="dxa"/>
            <w:vAlign w:val="center"/>
          </w:tcPr>
          <w:p>
            <w:pPr>
              <w:keepNext/>
              <w:spacing w:before="0" w:after="0"/>
              <w:jc w:val="center"/>
            </w:pPr>
            <w:r>
              <w:rPr>
                <w:sz w:val="16"/>
                <w:szCs w:val="16"/>
              </w:rPr>
              <w:t xml:space="preserve">29.7%</w:t>
            </w:r>
          </w:p>
        </w:tc>
        <w:tc>
          <w:tcPr>
            <w:tcW w:w="1050" w:type="dxa"/>
            <w:vAlign w:val="center"/>
          </w:tcPr>
          <w:p>
            <w:pPr>
              <w:keepNext/>
              <w:spacing w:before="0" w:after="0"/>
              <w:jc w:val="center"/>
            </w:pPr>
            <w:r>
              <w:rPr>
                <w:sz w:val="16"/>
                <w:szCs w:val="16"/>
              </w:rPr>
              <w:t xml:space="preserve">20.0%</w:t>
            </w:r>
          </w:p>
        </w:tc>
        <w:tc>
          <w:tcPr>
            <w:tcW w:w="1000" w:type="dxa"/>
            <w:vAlign w:val="center"/>
          </w:tcPr>
          <w:p>
            <w:pPr>
              <w:keepNext/>
              <w:spacing w:before="0" w:after="0"/>
              <w:jc w:val="center"/>
            </w:pPr>
            <w:r>
              <w:rPr>
                <w:sz w:val="16"/>
                <w:szCs w:val="16"/>
              </w:rPr>
              <w:t xml:space="preserve">−9.4 pp</w:t>
            </w:r>
          </w:p>
        </w:tc>
        <w:tc>
          <w:tcPr>
            <w:tcW w:w="3310" w:type="dxa"/>
            <w:vAlign w:val="center"/>
          </w:tcPr>
          <w:p>
            <w:pPr>
              <w:keepNext/>
              <w:spacing w:before="0" w:after="0"/>
              <w:jc w:val="left"/>
            </w:pPr>
            <w:r>
              <w:rPr>
                <w:sz w:val="16"/>
                <w:szCs w:val="16"/>
              </w:rPr>
              <w:t xml:space="preserve">Denominator inflation drives apparent rate collapse — not a coverage loss</w:t>
            </w:r>
          </w:p>
        </w:tc>
      </w:tr>
      <w:tr>
        <w:trPr>
          <w:cantSplit/>
        </w:trPr>
        <w:tc>
          <w:tcPr>
            <w:tcW w:w="1900" w:type="dxa"/>
            <w:vAlign w:val="center"/>
          </w:tcPr>
          <w:p>
            <w:pPr>
              <w:keepNext/>
              <w:spacing w:before="0" w:after="0"/>
              <w:jc w:val="left"/>
            </w:pPr>
            <w:r>
              <w:rPr>
                <w:sz w:val="16"/>
                <w:szCs w:val="16"/>
              </w:rPr>
              <w:t xml:space="preserve">Medicaid rate (wtd. avg.)</w:t>
            </w:r>
          </w:p>
        </w:tc>
        <w:tc>
          <w:tcPr>
            <w:tcW w:w="1050" w:type="dxa"/>
            <w:vAlign w:val="center"/>
          </w:tcPr>
          <w:p>
            <w:pPr>
              <w:keepNext/>
              <w:spacing w:before="0" w:after="0"/>
              <w:jc w:val="center"/>
            </w:pPr>
            <w:r>
              <w:rPr>
                <w:sz w:val="16"/>
                <w:szCs w:val="16"/>
              </w:rPr>
              <w:t xml:space="preserve">29.6%</w:t>
            </w:r>
          </w:p>
        </w:tc>
        <w:tc>
          <w:tcPr>
            <w:tcW w:w="1050" w:type="dxa"/>
            <w:vAlign w:val="center"/>
          </w:tcPr>
          <w:p>
            <w:pPr>
              <w:keepNext/>
              <w:spacing w:before="0" w:after="0"/>
              <w:jc w:val="center"/>
            </w:pPr>
            <w:r>
              <w:rPr>
                <w:sz w:val="16"/>
                <w:szCs w:val="16"/>
              </w:rPr>
              <w:t xml:space="preserve">33.2%</w:t>
            </w:r>
          </w:p>
        </w:tc>
        <w:tc>
          <w:tcPr>
            <w:tcW w:w="1050" w:type="dxa"/>
            <w:vAlign w:val="center"/>
          </w:tcPr>
          <w:p>
            <w:pPr>
              <w:keepNext/>
              <w:spacing w:before="0" w:after="0"/>
              <w:jc w:val="center"/>
            </w:pPr>
            <w:r>
              <w:rPr>
                <w:sz w:val="16"/>
                <w:szCs w:val="16"/>
              </w:rPr>
              <w:t xml:space="preserve">31.6%</w:t>
            </w:r>
          </w:p>
        </w:tc>
        <w:tc>
          <w:tcPr>
            <w:tcW w:w="1000" w:type="dxa"/>
            <w:vAlign w:val="center"/>
          </w:tcPr>
          <w:p>
            <w:pPr>
              <w:keepNext/>
              <w:spacing w:before="0" w:after="0"/>
              <w:jc w:val="center"/>
            </w:pPr>
            <w:r>
              <w:rPr>
                <w:sz w:val="16"/>
                <w:szCs w:val="16"/>
              </w:rPr>
              <w:t xml:space="preserve">+2.0 pp</w:t>
            </w:r>
          </w:p>
        </w:tc>
        <w:tc>
          <w:tcPr>
            <w:tcW w:w="3310" w:type="dxa"/>
            <w:vAlign w:val="center"/>
          </w:tcPr>
          <w:p>
            <w:pPr>
              <w:keepNext/>
              <w:spacing w:before="0" w:after="0"/>
              <w:jc w:val="left"/>
            </w:pPr>
            <w:r>
              <w:rPr>
                <w:sz w:val="16"/>
                <w:szCs w:val="16"/>
              </w:rPr>
              <w:t xml:space="preserve">Modest real gain obscured by population denominator effect</w:t>
            </w:r>
          </w:p>
        </w:tc>
      </w:tr>
      <w:tr>
        <w:trPr>
          <w:cantSplit/>
        </w:trPr>
        <w:tc>
          <w:tcPr>
            <w:tcW w:w="1900" w:type="dxa"/>
            <w:vAlign w:val="center"/>
          </w:tcPr>
          <w:p>
            <w:pPr>
              <w:keepNext/>
              <w:spacing w:before="0" w:after="0"/>
              <w:jc w:val="left"/>
            </w:pPr>
            <w:r>
              <w:rPr>
                <w:sz w:val="16"/>
                <w:szCs w:val="16"/>
              </w:rPr>
              <w:t xml:space="preserve">Uninsured rate (wtd. avg.)</w:t>
            </w:r>
          </w:p>
        </w:tc>
        <w:tc>
          <w:tcPr>
            <w:tcW w:w="1050" w:type="dxa"/>
            <w:vAlign w:val="center"/>
          </w:tcPr>
          <w:p>
            <w:pPr>
              <w:keepNext/>
              <w:spacing w:before="0" w:after="0"/>
              <w:jc w:val="center"/>
            </w:pPr>
            <w:r>
              <w:rPr>
                <w:sz w:val="16"/>
                <w:szCs w:val="16"/>
              </w:rPr>
              <w:t xml:space="preserve">23.6%</w:t>
            </w:r>
          </w:p>
        </w:tc>
        <w:tc>
          <w:tcPr>
            <w:tcW w:w="1050" w:type="dxa"/>
            <w:vAlign w:val="center"/>
          </w:tcPr>
          <w:p>
            <w:pPr>
              <w:keepNext/>
              <w:spacing w:before="0" w:after="0"/>
              <w:jc w:val="center"/>
            </w:pPr>
            <w:r>
              <w:rPr>
                <w:sz w:val="16"/>
                <w:szCs w:val="16"/>
              </w:rPr>
              <w:t xml:space="preserve">16.3%</w:t>
            </w:r>
          </w:p>
        </w:tc>
        <w:tc>
          <w:tcPr>
            <w:tcW w:w="1050" w:type="dxa"/>
            <w:vAlign w:val="center"/>
          </w:tcPr>
          <w:p>
            <w:pPr>
              <w:keepNext/>
              <w:spacing w:before="0" w:after="0"/>
              <w:jc w:val="center"/>
            </w:pPr>
            <w:r>
              <w:rPr>
                <w:sz w:val="16"/>
                <w:szCs w:val="16"/>
              </w:rPr>
              <w:t xml:space="preserve">14.1%</w:t>
            </w:r>
          </w:p>
        </w:tc>
        <w:tc>
          <w:tcPr>
            <w:tcW w:w="1000" w:type="dxa"/>
            <w:vAlign w:val="center"/>
          </w:tcPr>
          <w:p>
            <w:pPr>
              <w:keepNext/>
              <w:spacing w:before="0" w:after="0"/>
              <w:jc w:val="center"/>
            </w:pPr>
            <w:r>
              <w:rPr>
                <w:sz w:val="16"/>
                <w:szCs w:val="16"/>
              </w:rPr>
              <w:t xml:space="preserve">−9.4 pp</w:t>
            </w:r>
          </w:p>
        </w:tc>
        <w:tc>
          <w:tcPr>
            <w:tcW w:w="3310" w:type="dxa"/>
            <w:vAlign w:val="center"/>
          </w:tcPr>
          <w:p>
            <w:pPr>
              <w:keepNext/>
              <w:spacing w:before="0" w:after="0"/>
              <w:jc w:val="left"/>
            </w:pPr>
            <w:r>
              <w:rPr>
                <w:sz w:val="16"/>
                <w:szCs w:val="16"/>
              </w:rPr>
              <w:t xml:space="preserve">Genuine improvement; less affected by denominator because it is a rate</w:t>
            </w:r>
          </w:p>
        </w:tc>
      </w:tr>
    </w:tbl>
    <w:p>
      <w:pPr/>
      <w:r>
        <w:t>Table 1. Group-level trends: high-IHS vs. low-IHS states, three ACS 5-year periods. Medicaid and uninsured rates are population-weighted averages across states in each group.</w:t>
      </w:r>
    </w:p>
    <w:p>
      <w:pPr/>
      <w:r>
        <w:t>The high-IHS states show steady, plausible population growth of 15 percent over a decade with corresponding modest gains in IHS access, substantial Medicaid growth, and the largest uninsured reduction of any group. The low-IHS states show a 63 percent population surge concentrated almost entirely in the 2019–2024 period, with IHS access counts that actually declined and Medicaid rates that barely moved.</w:t>
      </w:r>
    </w:p>
    <w:p>
      <w:pPr/>
      <w:r>
        <w:t>These are not consistent with enrollment of newly covered individuals; they are consistent with racial re-identification.</w:t>
      </w:r>
    </w:p>
    <w:p>
      <w:pPr>
        <w:pStyle w:val="Heading1"/>
      </w:pPr>
      <w:r>
        <w:t>II. The 2019–2024 Population Surge: State-Level Evidence</w:t>
      </w:r>
    </w:p>
    <w:p>
      <w:pPr>
        <w:keepNext/>
      </w:pPr>
      <w:r>
        <w:t>Table 2 below presents population totals across the three periods for a selected set of states, with the 2014–2019 and 2019–2024 growth rates shown separately. The contrast between the two periods is the primary diagnostic for the 2020 race question artifact.</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80" w:type="dxa"/>
          <w:bottom w:w="40" w:type="dxa"/>
          <w:right w:w="80" w:type="dxa"/>
        </w:tblCellMar>
      </w:tblPr>
      <w:tblGrid>
        <w:gridCol w:w="1800"/>
        <w:gridCol w:w="1250"/>
        <w:gridCol w:w="1250"/>
        <w:gridCol w:w="1300"/>
        <w:gridCol w:w="1250"/>
        <w:gridCol w:w="1250"/>
        <w:gridCol w:w="1260"/>
      </w:tblGrid>
      <w:tr>
        <w:trPr>
          <w:tblHeader/>
          <w:cantSplit/>
        </w:trPr>
        <w:tc>
          <w:tcPr>
            <w:tcW w:w="1800" w:type="dxa"/>
            <w:shd w:val="clear" w:color="auto" w:fill="128A7D"/>
            <w:vAlign w:val="center"/>
          </w:tcPr>
          <w:p>
            <w:pPr>
              <w:keepNext/>
              <w:spacing w:before="0" w:after="0"/>
              <w:jc w:val="left"/>
            </w:pPr>
            <w:r>
              <w:rPr>
                <w:b/>
                <w:color w:val="FFFFFF"/>
                <w:sz w:val="17"/>
                <w:szCs w:val="17"/>
              </w:rPr>
              <w:t xml:space="preserve">State</w:t>
            </w:r>
          </w:p>
        </w:tc>
        <w:tc>
          <w:tcPr>
            <w:tcW w:w="1250" w:type="dxa"/>
            <w:shd w:val="clear" w:color="auto" w:fill="128A7D"/>
            <w:vAlign w:val="center"/>
          </w:tcPr>
          <w:p>
            <w:pPr>
              <w:keepNext/>
              <w:spacing w:before="0" w:after="0"/>
              <w:jc w:val="center"/>
            </w:pPr>
            <w:r>
              <w:rPr>
                <w:b/>
                <w:color w:val="FFFFFF"/>
                <w:sz w:val="17"/>
                <w:szCs w:val="17"/>
              </w:rPr>
              <w:t xml:space="preserve">2010–14</w:t>
            </w:r>
          </w:p>
        </w:tc>
        <w:tc>
          <w:tcPr>
            <w:tcW w:w="1250" w:type="dxa"/>
            <w:shd w:val="clear" w:color="auto" w:fill="128A7D"/>
            <w:vAlign w:val="center"/>
          </w:tcPr>
          <w:p>
            <w:pPr>
              <w:keepNext/>
              <w:spacing w:before="0" w:after="0"/>
              <w:jc w:val="center"/>
            </w:pPr>
            <w:r>
              <w:rPr>
                <w:b/>
                <w:color w:val="FFFFFF"/>
                <w:sz w:val="17"/>
                <w:szCs w:val="17"/>
              </w:rPr>
              <w:t xml:space="preserve">2015–19</w:t>
            </w:r>
          </w:p>
        </w:tc>
        <w:tc>
          <w:tcPr>
            <w:tcW w:w="1300" w:type="dxa"/>
            <w:shd w:val="clear" w:color="auto" w:fill="128A7D"/>
            <w:vAlign w:val="center"/>
          </w:tcPr>
          <w:p>
            <w:pPr>
              <w:keepNext/>
              <w:spacing w:before="0" w:after="0"/>
              <w:jc w:val="center"/>
            </w:pPr>
            <w:r>
              <w:rPr>
                <w:b/>
                <w:color w:val="FFFFFF"/>
                <w:sz w:val="17"/>
                <w:szCs w:val="17"/>
              </w:rPr>
              <w:t xml:space="preserve">2020–24</w:t>
            </w:r>
          </w:p>
        </w:tc>
        <w:tc>
          <w:tcPr>
            <w:tcW w:w="1250" w:type="dxa"/>
            <w:shd w:val="clear" w:color="auto" w:fill="128A7D"/>
            <w:vAlign w:val="center"/>
          </w:tcPr>
          <w:p>
            <w:pPr>
              <w:keepNext/>
              <w:spacing w:before="0" w:after="0"/>
              <w:jc w:val="center"/>
            </w:pPr>
            <w:r>
              <w:rPr>
                <w:b/>
                <w:color w:val="FFFFFF"/>
                <w:sz w:val="17"/>
                <w:szCs w:val="17"/>
              </w:rPr>
              <w:t xml:space="preserve">Δ 2014→19</w:t>
            </w:r>
          </w:p>
        </w:tc>
        <w:tc>
          <w:tcPr>
            <w:tcW w:w="1250" w:type="dxa"/>
            <w:shd w:val="clear" w:color="auto" w:fill="128A7D"/>
            <w:vAlign w:val="center"/>
          </w:tcPr>
          <w:p>
            <w:pPr>
              <w:keepNext/>
              <w:spacing w:before="0" w:after="0"/>
              <w:jc w:val="center"/>
            </w:pPr>
            <w:r>
              <w:rPr>
                <w:b/>
                <w:color w:val="FFFFFF"/>
                <w:sz w:val="17"/>
                <w:szCs w:val="17"/>
              </w:rPr>
              <w:t xml:space="preserve">Δ 2019→24</w:t>
            </w:r>
          </w:p>
        </w:tc>
        <w:tc>
          <w:tcPr>
            <w:tcW w:w="1260" w:type="dxa"/>
            <w:shd w:val="clear" w:color="auto" w:fill="128A7D"/>
            <w:vAlign w:val="center"/>
          </w:tcPr>
          <w:p>
            <w:pPr>
              <w:keepNext/>
              <w:spacing w:before="0" w:after="0"/>
              <w:jc w:val="center"/>
            </w:pPr>
            <w:r>
              <w:rPr>
                <w:b/>
                <w:color w:val="FFFFFF"/>
                <w:sz w:val="17"/>
                <w:szCs w:val="17"/>
              </w:rPr>
              <w:t xml:space="preserve">Group</w:t>
            </w:r>
          </w:p>
        </w:tc>
      </w:tr>
      <w:tr>
        <w:trPr>
          <w:cantSplit/>
        </w:trPr>
        <w:tc>
          <w:tcPr>
            <w:tcW w:w="1800" w:type="dxa"/>
            <w:vAlign w:val="center"/>
          </w:tcPr>
          <w:p>
            <w:pPr>
              <w:keepNext/>
              <w:spacing w:before="0" w:after="0"/>
              <w:jc w:val="left"/>
            </w:pPr>
            <w:r>
              <w:rPr>
                <w:sz w:val="17"/>
                <w:szCs w:val="17"/>
              </w:rPr>
              <w:t xml:space="preserve">Texas</w:t>
            </w:r>
          </w:p>
        </w:tc>
        <w:tc>
          <w:tcPr>
            <w:tcW w:w="1250" w:type="dxa"/>
            <w:vAlign w:val="center"/>
          </w:tcPr>
          <w:p>
            <w:pPr>
              <w:keepNext/>
              <w:spacing w:before="0" w:after="0"/>
              <w:jc w:val="center"/>
            </w:pPr>
            <w:r>
              <w:rPr>
                <w:sz w:val="17"/>
                <w:szCs w:val="17"/>
              </w:rPr>
              <w:t xml:space="preserve">302,934</w:t>
            </w:r>
          </w:p>
        </w:tc>
        <w:tc>
          <w:tcPr>
            <w:tcW w:w="1250" w:type="dxa"/>
            <w:vAlign w:val="center"/>
          </w:tcPr>
          <w:p>
            <w:pPr>
              <w:keepNext/>
              <w:spacing w:before="0" w:after="0"/>
              <w:jc w:val="center"/>
            </w:pPr>
            <w:r>
              <w:rPr>
                <w:sz w:val="17"/>
                <w:szCs w:val="17"/>
              </w:rPr>
              <w:t xml:space="preserve">347,385</w:t>
            </w:r>
          </w:p>
        </w:tc>
        <w:tc>
          <w:tcPr>
            <w:tcW w:w="1300" w:type="dxa"/>
            <w:vAlign w:val="center"/>
          </w:tcPr>
          <w:p>
            <w:pPr>
              <w:keepNext/>
              <w:spacing w:before="0" w:after="0"/>
              <w:jc w:val="center"/>
            </w:pPr>
            <w:r>
              <w:rPr>
                <w:sz w:val="17"/>
                <w:szCs w:val="17"/>
              </w:rPr>
              <w:t xml:space="preserve">668,612</w:t>
            </w:r>
          </w:p>
        </w:tc>
        <w:tc>
          <w:tcPr>
            <w:tcW w:w="1250" w:type="dxa"/>
            <w:vAlign w:val="center"/>
          </w:tcPr>
          <w:p>
            <w:pPr>
              <w:keepNext/>
              <w:spacing w:before="0" w:after="0"/>
              <w:jc w:val="center"/>
            </w:pPr>
            <w:r>
              <w:rPr>
                <w:sz w:val="17"/>
                <w:szCs w:val="17"/>
              </w:rPr>
              <w:t xml:space="preserve">14.7%</w:t>
            </w:r>
          </w:p>
        </w:tc>
        <w:tc>
          <w:tcPr>
            <w:tcW w:w="1250" w:type="dxa"/>
            <w:vAlign w:val="center"/>
          </w:tcPr>
          <w:p>
            <w:pPr>
              <w:keepNext/>
              <w:spacing w:before="0" w:after="0"/>
              <w:jc w:val="center"/>
            </w:pPr>
            <w:r>
              <w:rPr>
                <w:b/>
                <w:sz w:val="17"/>
                <w:szCs w:val="17"/>
              </w:rPr>
              <w:t xml:space="preserve">92.5%</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Mississippi</w:t>
            </w:r>
          </w:p>
        </w:tc>
        <w:tc>
          <w:tcPr>
            <w:tcW w:w="1250" w:type="dxa"/>
            <w:vAlign w:val="center"/>
          </w:tcPr>
          <w:p>
            <w:pPr>
              <w:keepNext/>
              <w:spacing w:before="0" w:after="0"/>
              <w:jc w:val="center"/>
            </w:pPr>
            <w:r>
              <w:rPr>
                <w:sz w:val="17"/>
                <w:szCs w:val="17"/>
              </w:rPr>
              <w:t xml:space="preserve">24,196</w:t>
            </w:r>
          </w:p>
        </w:tc>
        <w:tc>
          <w:tcPr>
            <w:tcW w:w="1250" w:type="dxa"/>
            <w:vAlign w:val="center"/>
          </w:tcPr>
          <w:p>
            <w:pPr>
              <w:keepNext/>
              <w:spacing w:before="0" w:after="0"/>
              <w:jc w:val="center"/>
            </w:pPr>
            <w:r>
              <w:rPr>
                <w:sz w:val="17"/>
                <w:szCs w:val="17"/>
              </w:rPr>
              <w:t xml:space="preserve">24,623</w:t>
            </w:r>
          </w:p>
        </w:tc>
        <w:tc>
          <w:tcPr>
            <w:tcW w:w="1300" w:type="dxa"/>
            <w:vAlign w:val="center"/>
          </w:tcPr>
          <w:p>
            <w:pPr>
              <w:keepNext/>
              <w:spacing w:before="0" w:after="0"/>
              <w:jc w:val="center"/>
            </w:pPr>
            <w:r>
              <w:rPr>
                <w:sz w:val="17"/>
                <w:szCs w:val="17"/>
              </w:rPr>
              <w:t xml:space="preserve">45,940</w:t>
            </w:r>
          </w:p>
        </w:tc>
        <w:tc>
          <w:tcPr>
            <w:tcW w:w="1250" w:type="dxa"/>
            <w:vAlign w:val="center"/>
          </w:tcPr>
          <w:p>
            <w:pPr>
              <w:keepNext/>
              <w:spacing w:before="0" w:after="0"/>
              <w:jc w:val="center"/>
            </w:pPr>
            <w:r>
              <w:rPr>
                <w:sz w:val="17"/>
                <w:szCs w:val="17"/>
              </w:rPr>
              <w:t xml:space="preserve">1.8%</w:t>
            </w:r>
          </w:p>
        </w:tc>
        <w:tc>
          <w:tcPr>
            <w:tcW w:w="1250" w:type="dxa"/>
            <w:vAlign w:val="center"/>
          </w:tcPr>
          <w:p>
            <w:pPr>
              <w:keepNext/>
              <w:spacing w:before="0" w:after="0"/>
              <w:jc w:val="center"/>
            </w:pPr>
            <w:r>
              <w:rPr>
                <w:b/>
                <w:sz w:val="17"/>
                <w:szCs w:val="17"/>
              </w:rPr>
              <w:t xml:space="preserve">86.6%</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South Carolina</w:t>
            </w:r>
          </w:p>
        </w:tc>
        <w:tc>
          <w:tcPr>
            <w:tcW w:w="1250" w:type="dxa"/>
            <w:vAlign w:val="center"/>
          </w:tcPr>
          <w:p>
            <w:pPr>
              <w:keepNext/>
              <w:spacing w:before="0" w:after="0"/>
              <w:jc w:val="center"/>
            </w:pPr>
            <w:r>
              <w:rPr>
                <w:sz w:val="17"/>
                <w:szCs w:val="17"/>
              </w:rPr>
              <w:t xml:space="preserve">41,658</w:t>
            </w:r>
          </w:p>
        </w:tc>
        <w:tc>
          <w:tcPr>
            <w:tcW w:w="1250" w:type="dxa"/>
            <w:vAlign w:val="center"/>
          </w:tcPr>
          <w:p>
            <w:pPr>
              <w:keepNext/>
              <w:spacing w:before="0" w:after="0"/>
              <w:jc w:val="center"/>
            </w:pPr>
            <w:r>
              <w:rPr>
                <w:sz w:val="17"/>
                <w:szCs w:val="17"/>
              </w:rPr>
              <w:t xml:space="preserve">49,492</w:t>
            </w:r>
          </w:p>
        </w:tc>
        <w:tc>
          <w:tcPr>
            <w:tcW w:w="1300" w:type="dxa"/>
            <w:vAlign w:val="center"/>
          </w:tcPr>
          <w:p>
            <w:pPr>
              <w:keepNext/>
              <w:spacing w:before="0" w:after="0"/>
              <w:jc w:val="center"/>
            </w:pPr>
            <w:r>
              <w:rPr>
                <w:sz w:val="17"/>
                <w:szCs w:val="17"/>
              </w:rPr>
              <w:t xml:space="preserve">87,563</w:t>
            </w:r>
          </w:p>
        </w:tc>
        <w:tc>
          <w:tcPr>
            <w:tcW w:w="1250" w:type="dxa"/>
            <w:vAlign w:val="center"/>
          </w:tcPr>
          <w:p>
            <w:pPr>
              <w:keepNext/>
              <w:spacing w:before="0" w:after="0"/>
              <w:jc w:val="center"/>
            </w:pPr>
            <w:r>
              <w:rPr>
                <w:sz w:val="17"/>
                <w:szCs w:val="17"/>
              </w:rPr>
              <w:t xml:space="preserve">18.8%</w:t>
            </w:r>
          </w:p>
        </w:tc>
        <w:tc>
          <w:tcPr>
            <w:tcW w:w="1250" w:type="dxa"/>
            <w:vAlign w:val="center"/>
          </w:tcPr>
          <w:p>
            <w:pPr>
              <w:keepNext/>
              <w:spacing w:before="0" w:after="0"/>
              <w:jc w:val="center"/>
            </w:pPr>
            <w:r>
              <w:rPr>
                <w:b/>
                <w:sz w:val="17"/>
                <w:szCs w:val="17"/>
              </w:rPr>
              <w:t xml:space="preserve">76.9%</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Florida</w:t>
            </w:r>
          </w:p>
        </w:tc>
        <w:tc>
          <w:tcPr>
            <w:tcW w:w="1250" w:type="dxa"/>
            <w:vAlign w:val="center"/>
          </w:tcPr>
          <w:p>
            <w:pPr>
              <w:keepNext/>
              <w:spacing w:before="0" w:after="0"/>
              <w:jc w:val="center"/>
            </w:pPr>
            <w:r>
              <w:rPr>
                <w:sz w:val="17"/>
                <w:szCs w:val="17"/>
              </w:rPr>
              <w:t xml:space="preserve">153,669</w:t>
            </w:r>
          </w:p>
        </w:tc>
        <w:tc>
          <w:tcPr>
            <w:tcW w:w="1250" w:type="dxa"/>
            <w:vAlign w:val="center"/>
          </w:tcPr>
          <w:p>
            <w:pPr>
              <w:keepNext/>
              <w:spacing w:before="0" w:after="0"/>
              <w:jc w:val="center"/>
            </w:pPr>
            <w:r>
              <w:rPr>
                <w:sz w:val="17"/>
                <w:szCs w:val="17"/>
              </w:rPr>
              <w:t xml:space="preserve">173,306</w:t>
            </w:r>
          </w:p>
        </w:tc>
        <w:tc>
          <w:tcPr>
            <w:tcW w:w="1300" w:type="dxa"/>
            <w:vAlign w:val="center"/>
          </w:tcPr>
          <w:p>
            <w:pPr>
              <w:keepNext/>
              <w:spacing w:before="0" w:after="0"/>
              <w:jc w:val="center"/>
            </w:pPr>
            <w:r>
              <w:rPr>
                <w:sz w:val="17"/>
                <w:szCs w:val="17"/>
              </w:rPr>
              <w:t xml:space="preserve">299,625</w:t>
            </w:r>
          </w:p>
        </w:tc>
        <w:tc>
          <w:tcPr>
            <w:tcW w:w="1250" w:type="dxa"/>
            <w:vAlign w:val="center"/>
          </w:tcPr>
          <w:p>
            <w:pPr>
              <w:keepNext/>
              <w:spacing w:before="0" w:after="0"/>
              <w:jc w:val="center"/>
            </w:pPr>
            <w:r>
              <w:rPr>
                <w:sz w:val="17"/>
                <w:szCs w:val="17"/>
              </w:rPr>
              <w:t xml:space="preserve">12.8%</w:t>
            </w:r>
          </w:p>
        </w:tc>
        <w:tc>
          <w:tcPr>
            <w:tcW w:w="1250" w:type="dxa"/>
            <w:vAlign w:val="center"/>
          </w:tcPr>
          <w:p>
            <w:pPr>
              <w:keepNext/>
              <w:spacing w:before="0" w:after="0"/>
              <w:jc w:val="center"/>
            </w:pPr>
            <w:r>
              <w:rPr>
                <w:b/>
                <w:sz w:val="17"/>
                <w:szCs w:val="17"/>
              </w:rPr>
              <w:t xml:space="preserve">72.9%</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California</w:t>
            </w:r>
          </w:p>
        </w:tc>
        <w:tc>
          <w:tcPr>
            <w:tcW w:w="1250" w:type="dxa"/>
            <w:vAlign w:val="center"/>
          </w:tcPr>
          <w:p>
            <w:pPr>
              <w:keepNext/>
              <w:spacing w:before="0" w:after="0"/>
              <w:jc w:val="center"/>
            </w:pPr>
            <w:r>
              <w:rPr>
                <w:sz w:val="17"/>
                <w:szCs w:val="17"/>
              </w:rPr>
              <w:t xml:space="preserve">697,556</w:t>
            </w:r>
          </w:p>
        </w:tc>
        <w:tc>
          <w:tcPr>
            <w:tcW w:w="1250" w:type="dxa"/>
            <w:vAlign w:val="center"/>
          </w:tcPr>
          <w:p>
            <w:pPr>
              <w:keepNext/>
              <w:spacing w:before="0" w:after="0"/>
              <w:jc w:val="center"/>
            </w:pPr>
            <w:r>
              <w:rPr>
                <w:sz w:val="17"/>
                <w:szCs w:val="17"/>
              </w:rPr>
              <w:t xml:space="preserve">764,994</w:t>
            </w:r>
          </w:p>
        </w:tc>
        <w:tc>
          <w:tcPr>
            <w:tcW w:w="1300" w:type="dxa"/>
            <w:vAlign w:val="center"/>
          </w:tcPr>
          <w:p>
            <w:pPr>
              <w:keepNext/>
              <w:spacing w:before="0" w:after="0"/>
              <w:jc w:val="center"/>
            </w:pPr>
            <w:r>
              <w:rPr>
                <w:sz w:val="17"/>
                <w:szCs w:val="17"/>
              </w:rPr>
              <w:t xml:space="preserve">1,213,352</w:t>
            </w:r>
          </w:p>
        </w:tc>
        <w:tc>
          <w:tcPr>
            <w:tcW w:w="1250" w:type="dxa"/>
            <w:vAlign w:val="center"/>
          </w:tcPr>
          <w:p>
            <w:pPr>
              <w:keepNext/>
              <w:spacing w:before="0" w:after="0"/>
              <w:jc w:val="center"/>
            </w:pPr>
            <w:r>
              <w:rPr>
                <w:sz w:val="17"/>
                <w:szCs w:val="17"/>
              </w:rPr>
              <w:t xml:space="preserve">9.7%</w:t>
            </w:r>
          </w:p>
        </w:tc>
        <w:tc>
          <w:tcPr>
            <w:tcW w:w="1250" w:type="dxa"/>
            <w:vAlign w:val="center"/>
          </w:tcPr>
          <w:p>
            <w:pPr>
              <w:keepNext/>
              <w:spacing w:before="0" w:after="0"/>
              <w:jc w:val="center"/>
            </w:pPr>
            <w:r>
              <w:rPr>
                <w:b/>
                <w:sz w:val="17"/>
                <w:szCs w:val="17"/>
              </w:rPr>
              <w:t xml:space="preserve">58.6%</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Massachusetts</w:t>
            </w:r>
          </w:p>
        </w:tc>
        <w:tc>
          <w:tcPr>
            <w:tcW w:w="1250" w:type="dxa"/>
            <w:vAlign w:val="center"/>
          </w:tcPr>
          <w:p>
            <w:pPr>
              <w:keepNext/>
              <w:spacing w:before="0" w:after="0"/>
              <w:jc w:val="center"/>
            </w:pPr>
            <w:r>
              <w:rPr>
                <w:sz w:val="17"/>
                <w:szCs w:val="17"/>
              </w:rPr>
              <w:t xml:space="preserve">45,104</w:t>
            </w:r>
          </w:p>
        </w:tc>
        <w:tc>
          <w:tcPr>
            <w:tcW w:w="1250" w:type="dxa"/>
            <w:vAlign w:val="center"/>
          </w:tcPr>
          <w:p>
            <w:pPr>
              <w:keepNext/>
              <w:spacing w:before="0" w:after="0"/>
              <w:jc w:val="center"/>
            </w:pPr>
            <w:r>
              <w:rPr>
                <w:sz w:val="17"/>
                <w:szCs w:val="17"/>
              </w:rPr>
              <w:t xml:space="preserve">48,374</w:t>
            </w:r>
          </w:p>
        </w:tc>
        <w:tc>
          <w:tcPr>
            <w:tcW w:w="1300" w:type="dxa"/>
            <w:vAlign w:val="center"/>
          </w:tcPr>
          <w:p>
            <w:pPr>
              <w:keepNext/>
              <w:spacing w:before="0" w:after="0"/>
              <w:jc w:val="center"/>
            </w:pPr>
            <w:r>
              <w:rPr>
                <w:sz w:val="17"/>
                <w:szCs w:val="17"/>
              </w:rPr>
              <w:t xml:space="preserve">76,142</w:t>
            </w:r>
          </w:p>
        </w:tc>
        <w:tc>
          <w:tcPr>
            <w:tcW w:w="1250" w:type="dxa"/>
            <w:vAlign w:val="center"/>
          </w:tcPr>
          <w:p>
            <w:pPr>
              <w:keepNext/>
              <w:spacing w:before="0" w:after="0"/>
              <w:jc w:val="center"/>
            </w:pPr>
            <w:r>
              <w:rPr>
                <w:sz w:val="17"/>
                <w:szCs w:val="17"/>
              </w:rPr>
              <w:t xml:space="preserve">7.2%</w:t>
            </w:r>
          </w:p>
        </w:tc>
        <w:tc>
          <w:tcPr>
            <w:tcW w:w="1250" w:type="dxa"/>
            <w:vAlign w:val="center"/>
          </w:tcPr>
          <w:p>
            <w:pPr>
              <w:keepNext/>
              <w:spacing w:before="0" w:after="0"/>
              <w:jc w:val="center"/>
            </w:pPr>
            <w:r>
              <w:rPr>
                <w:b/>
                <w:sz w:val="17"/>
                <w:szCs w:val="17"/>
              </w:rPr>
              <w:t xml:space="preserve">57.4%</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Nevada</w:t>
            </w:r>
          </w:p>
        </w:tc>
        <w:tc>
          <w:tcPr>
            <w:tcW w:w="1250" w:type="dxa"/>
            <w:vAlign w:val="center"/>
          </w:tcPr>
          <w:p>
            <w:pPr>
              <w:keepNext/>
              <w:spacing w:before="0" w:after="0"/>
              <w:jc w:val="center"/>
            </w:pPr>
            <w:r>
              <w:rPr>
                <w:sz w:val="17"/>
                <w:szCs w:val="17"/>
              </w:rPr>
              <w:t xml:space="preserve">51,900</w:t>
            </w:r>
          </w:p>
        </w:tc>
        <w:tc>
          <w:tcPr>
            <w:tcW w:w="1250" w:type="dxa"/>
            <w:vAlign w:val="center"/>
          </w:tcPr>
          <w:p>
            <w:pPr>
              <w:keepNext/>
              <w:spacing w:before="0" w:after="0"/>
              <w:jc w:val="center"/>
            </w:pPr>
            <w:r>
              <w:rPr>
                <w:sz w:val="17"/>
                <w:szCs w:val="17"/>
              </w:rPr>
              <w:t xml:space="preserve">65,786</w:t>
            </w:r>
          </w:p>
        </w:tc>
        <w:tc>
          <w:tcPr>
            <w:tcW w:w="1300" w:type="dxa"/>
            <w:vAlign w:val="center"/>
          </w:tcPr>
          <w:p>
            <w:pPr>
              <w:keepNext/>
              <w:spacing w:before="0" w:after="0"/>
              <w:jc w:val="center"/>
            </w:pPr>
            <w:r>
              <w:rPr>
                <w:sz w:val="17"/>
                <w:szCs w:val="17"/>
              </w:rPr>
              <w:t xml:space="preserve">100,000</w:t>
            </w:r>
          </w:p>
        </w:tc>
        <w:tc>
          <w:tcPr>
            <w:tcW w:w="1250" w:type="dxa"/>
            <w:vAlign w:val="center"/>
          </w:tcPr>
          <w:p>
            <w:pPr>
              <w:keepNext/>
              <w:spacing w:before="0" w:after="0"/>
              <w:jc w:val="center"/>
            </w:pPr>
            <w:r>
              <w:rPr>
                <w:sz w:val="17"/>
                <w:szCs w:val="17"/>
              </w:rPr>
              <w:t xml:space="preserve">26.8%</w:t>
            </w:r>
          </w:p>
        </w:tc>
        <w:tc>
          <w:tcPr>
            <w:tcW w:w="1250" w:type="dxa"/>
            <w:vAlign w:val="center"/>
          </w:tcPr>
          <w:p>
            <w:pPr>
              <w:keepNext/>
              <w:spacing w:before="0" w:after="0"/>
              <w:jc w:val="center"/>
            </w:pPr>
            <w:r>
              <w:rPr>
                <w:b/>
                <w:sz w:val="17"/>
                <w:szCs w:val="17"/>
              </w:rPr>
              <w:t xml:space="preserve">52.0%</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Iowa</w:t>
            </w:r>
          </w:p>
        </w:tc>
        <w:tc>
          <w:tcPr>
            <w:tcW w:w="1250" w:type="dxa"/>
            <w:vAlign w:val="center"/>
          </w:tcPr>
          <w:p>
            <w:pPr>
              <w:keepNext/>
              <w:spacing w:before="0" w:after="0"/>
              <w:jc w:val="center"/>
            </w:pPr>
            <w:r>
              <w:rPr>
                <w:sz w:val="17"/>
                <w:szCs w:val="17"/>
              </w:rPr>
              <w:t xml:space="preserve">27,463</w:t>
            </w:r>
          </w:p>
        </w:tc>
        <w:tc>
          <w:tcPr>
            <w:tcW w:w="1250" w:type="dxa"/>
            <w:vAlign w:val="center"/>
          </w:tcPr>
          <w:p>
            <w:pPr>
              <w:keepNext/>
              <w:spacing w:before="0" w:after="0"/>
              <w:jc w:val="center"/>
            </w:pPr>
            <w:r>
              <w:rPr>
                <w:sz w:val="17"/>
                <w:szCs w:val="17"/>
              </w:rPr>
              <w:t xml:space="preserve">28,302</w:t>
            </w:r>
          </w:p>
        </w:tc>
        <w:tc>
          <w:tcPr>
            <w:tcW w:w="1300" w:type="dxa"/>
            <w:vAlign w:val="center"/>
          </w:tcPr>
          <w:p>
            <w:pPr>
              <w:keepNext/>
              <w:spacing w:before="0" w:after="0"/>
              <w:jc w:val="center"/>
            </w:pPr>
            <w:r>
              <w:rPr>
                <w:sz w:val="17"/>
                <w:szCs w:val="17"/>
              </w:rPr>
              <w:t xml:space="preserve">42,973</w:t>
            </w:r>
          </w:p>
        </w:tc>
        <w:tc>
          <w:tcPr>
            <w:tcW w:w="1250" w:type="dxa"/>
            <w:vAlign w:val="center"/>
          </w:tcPr>
          <w:p>
            <w:pPr>
              <w:keepNext/>
              <w:spacing w:before="0" w:after="0"/>
              <w:jc w:val="center"/>
            </w:pPr>
            <w:r>
              <w:rPr>
                <w:sz w:val="17"/>
                <w:szCs w:val="17"/>
              </w:rPr>
              <w:t xml:space="preserve">3.1%</w:t>
            </w:r>
          </w:p>
        </w:tc>
        <w:tc>
          <w:tcPr>
            <w:tcW w:w="1250" w:type="dxa"/>
            <w:vAlign w:val="center"/>
          </w:tcPr>
          <w:p>
            <w:pPr>
              <w:keepNext/>
              <w:spacing w:before="0" w:after="0"/>
              <w:jc w:val="center"/>
            </w:pPr>
            <w:r>
              <w:rPr>
                <w:b/>
                <w:sz w:val="17"/>
                <w:szCs w:val="17"/>
              </w:rPr>
              <w:t xml:space="preserve">51.8%</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Nebraska</w:t>
            </w:r>
          </w:p>
        </w:tc>
        <w:tc>
          <w:tcPr>
            <w:tcW w:w="1250" w:type="dxa"/>
            <w:vAlign w:val="center"/>
          </w:tcPr>
          <w:p>
            <w:pPr>
              <w:keepNext/>
              <w:spacing w:before="0" w:after="0"/>
              <w:jc w:val="center"/>
            </w:pPr>
            <w:r>
              <w:rPr>
                <w:sz w:val="17"/>
                <w:szCs w:val="17"/>
              </w:rPr>
              <w:t xml:space="preserve">29,963</w:t>
            </w:r>
          </w:p>
        </w:tc>
        <w:tc>
          <w:tcPr>
            <w:tcW w:w="1250" w:type="dxa"/>
            <w:vAlign w:val="center"/>
          </w:tcPr>
          <w:p>
            <w:pPr>
              <w:keepNext/>
              <w:spacing w:before="0" w:after="0"/>
              <w:jc w:val="center"/>
            </w:pPr>
            <w:r>
              <w:rPr>
                <w:sz w:val="17"/>
                <w:szCs w:val="17"/>
              </w:rPr>
              <w:t xml:space="preserve">32,567</w:t>
            </w:r>
          </w:p>
        </w:tc>
        <w:tc>
          <w:tcPr>
            <w:tcW w:w="1300" w:type="dxa"/>
            <w:vAlign w:val="center"/>
          </w:tcPr>
          <w:p>
            <w:pPr>
              <w:keepNext/>
              <w:spacing w:before="0" w:after="0"/>
              <w:jc w:val="center"/>
            </w:pPr>
            <w:r>
              <w:rPr>
                <w:sz w:val="17"/>
                <w:szCs w:val="17"/>
              </w:rPr>
              <w:t xml:space="preserve">48,125</w:t>
            </w:r>
          </w:p>
        </w:tc>
        <w:tc>
          <w:tcPr>
            <w:tcW w:w="1250" w:type="dxa"/>
            <w:vAlign w:val="center"/>
          </w:tcPr>
          <w:p>
            <w:pPr>
              <w:keepNext/>
              <w:spacing w:before="0" w:after="0"/>
              <w:jc w:val="center"/>
            </w:pPr>
            <w:r>
              <w:rPr>
                <w:sz w:val="17"/>
                <w:szCs w:val="17"/>
              </w:rPr>
              <w:t xml:space="preserve">8.7%</w:t>
            </w:r>
          </w:p>
        </w:tc>
        <w:tc>
          <w:tcPr>
            <w:tcW w:w="1250" w:type="dxa"/>
            <w:vAlign w:val="center"/>
          </w:tcPr>
          <w:p>
            <w:pPr>
              <w:keepNext/>
              <w:spacing w:before="0" w:after="0"/>
              <w:jc w:val="center"/>
            </w:pPr>
            <w:r>
              <w:rPr>
                <w:b/>
                <w:sz w:val="17"/>
                <w:szCs w:val="17"/>
              </w:rPr>
              <w:t xml:space="preserve">47.8%</w:t>
            </w:r>
          </w:p>
        </w:tc>
        <w:tc>
          <w:tcPr>
            <w:tcW w:w="1260" w:type="dxa"/>
            <w:vAlign w:val="center"/>
          </w:tcPr>
          <w:p>
            <w:pPr>
              <w:keepNext/>
              <w:spacing w:before="0" w:after="0"/>
              <w:jc w:val="center"/>
            </w:pPr>
            <w:r>
              <w:rPr>
                <w:sz w:val="17"/>
                <w:szCs w:val="17"/>
              </w:rPr>
              <w:t xml:space="preserve">Low-IHS</w:t>
            </w:r>
          </w:p>
        </w:tc>
      </w:tr>
      <w:tr>
        <w:trPr>
          <w:cantSplit/>
        </w:trPr>
        <w:tc>
          <w:tcPr>
            <w:tcW w:w="1800" w:type="dxa"/>
            <w:vAlign w:val="center"/>
          </w:tcPr>
          <w:p>
            <w:pPr>
              <w:keepNext/>
              <w:spacing w:before="0" w:after="0"/>
              <w:jc w:val="left"/>
            </w:pPr>
            <w:r>
              <w:rPr>
                <w:sz w:val="17"/>
                <w:szCs w:val="17"/>
              </w:rPr>
              <w:t xml:space="preserve">Oklahoma</w:t>
            </w:r>
          </w:p>
        </w:tc>
        <w:tc>
          <w:tcPr>
            <w:tcW w:w="1250" w:type="dxa"/>
            <w:vAlign w:val="center"/>
          </w:tcPr>
          <w:p>
            <w:pPr>
              <w:keepNext/>
              <w:spacing w:before="0" w:after="0"/>
              <w:jc w:val="center"/>
            </w:pPr>
            <w:r>
              <w:rPr>
                <w:sz w:val="17"/>
                <w:szCs w:val="17"/>
              </w:rPr>
              <w:t xml:space="preserve">507,989</w:t>
            </w:r>
          </w:p>
        </w:tc>
        <w:tc>
          <w:tcPr>
            <w:tcW w:w="1250" w:type="dxa"/>
            <w:vAlign w:val="center"/>
          </w:tcPr>
          <w:p>
            <w:pPr>
              <w:keepNext/>
              <w:spacing w:before="0" w:after="0"/>
              <w:jc w:val="center"/>
            </w:pPr>
            <w:r>
              <w:rPr>
                <w:sz w:val="17"/>
                <w:szCs w:val="17"/>
              </w:rPr>
              <w:t xml:space="preserve">526,944</w:t>
            </w:r>
          </w:p>
        </w:tc>
        <w:tc>
          <w:tcPr>
            <w:tcW w:w="1300" w:type="dxa"/>
            <w:vAlign w:val="center"/>
          </w:tcPr>
          <w:p>
            <w:pPr>
              <w:keepNext/>
              <w:spacing w:before="0" w:after="0"/>
              <w:jc w:val="center"/>
            </w:pPr>
            <w:r>
              <w:rPr>
                <w:sz w:val="17"/>
                <w:szCs w:val="17"/>
              </w:rPr>
              <w:t xml:space="preserve">565,354</w:t>
            </w:r>
          </w:p>
        </w:tc>
        <w:tc>
          <w:tcPr>
            <w:tcW w:w="1250" w:type="dxa"/>
            <w:vAlign w:val="center"/>
          </w:tcPr>
          <w:p>
            <w:pPr>
              <w:keepNext/>
              <w:spacing w:before="0" w:after="0"/>
              <w:jc w:val="center"/>
            </w:pPr>
            <w:r>
              <w:rPr>
                <w:sz w:val="17"/>
                <w:szCs w:val="17"/>
              </w:rPr>
              <w:t xml:space="preserve">3.7%</w:t>
            </w:r>
          </w:p>
        </w:tc>
        <w:tc>
          <w:tcPr>
            <w:tcW w:w="1250" w:type="dxa"/>
            <w:vAlign w:val="center"/>
          </w:tcPr>
          <w:p>
            <w:pPr>
              <w:keepNext/>
              <w:spacing w:before="0" w:after="0"/>
              <w:jc w:val="center"/>
            </w:pPr>
            <w:r>
              <w:rPr>
                <w:sz w:val="17"/>
                <w:szCs w:val="17"/>
              </w:rPr>
              <w:t xml:space="preserve">7.3%</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Arizona</w:t>
            </w:r>
          </w:p>
        </w:tc>
        <w:tc>
          <w:tcPr>
            <w:tcW w:w="1250" w:type="dxa"/>
            <w:vAlign w:val="center"/>
          </w:tcPr>
          <w:p>
            <w:pPr>
              <w:keepNext/>
              <w:spacing w:before="0" w:after="0"/>
              <w:jc w:val="center"/>
            </w:pPr>
            <w:r>
              <w:rPr>
                <w:sz w:val="17"/>
                <w:szCs w:val="17"/>
              </w:rPr>
              <w:t xml:space="preserve">351,893</w:t>
            </w:r>
          </w:p>
        </w:tc>
        <w:tc>
          <w:tcPr>
            <w:tcW w:w="1250" w:type="dxa"/>
            <w:vAlign w:val="center"/>
          </w:tcPr>
          <w:p>
            <w:pPr>
              <w:keepNext/>
              <w:spacing w:before="0" w:after="0"/>
              <w:jc w:val="center"/>
            </w:pPr>
            <w:r>
              <w:rPr>
                <w:sz w:val="17"/>
                <w:szCs w:val="17"/>
              </w:rPr>
              <w:t xml:space="preserve">400,751</w:t>
            </w:r>
          </w:p>
        </w:tc>
        <w:tc>
          <w:tcPr>
            <w:tcW w:w="1300" w:type="dxa"/>
            <w:vAlign w:val="center"/>
          </w:tcPr>
          <w:p>
            <w:pPr>
              <w:keepNext/>
              <w:spacing w:before="0" w:after="0"/>
              <w:jc w:val="center"/>
            </w:pPr>
            <w:r>
              <w:rPr>
                <w:sz w:val="17"/>
                <w:szCs w:val="17"/>
              </w:rPr>
              <w:t xml:space="preserve">444,288</w:t>
            </w:r>
          </w:p>
        </w:tc>
        <w:tc>
          <w:tcPr>
            <w:tcW w:w="1250" w:type="dxa"/>
            <w:vAlign w:val="center"/>
          </w:tcPr>
          <w:p>
            <w:pPr>
              <w:keepNext/>
              <w:spacing w:before="0" w:after="0"/>
              <w:jc w:val="center"/>
            </w:pPr>
            <w:r>
              <w:rPr>
                <w:sz w:val="17"/>
                <w:szCs w:val="17"/>
              </w:rPr>
              <w:t xml:space="preserve">13.9%</w:t>
            </w:r>
          </w:p>
        </w:tc>
        <w:tc>
          <w:tcPr>
            <w:tcW w:w="1250" w:type="dxa"/>
            <w:vAlign w:val="center"/>
          </w:tcPr>
          <w:p>
            <w:pPr>
              <w:keepNext/>
              <w:spacing w:before="0" w:after="0"/>
              <w:jc w:val="center"/>
            </w:pPr>
            <w:r>
              <w:rPr>
                <w:sz w:val="17"/>
                <w:szCs w:val="17"/>
              </w:rPr>
              <w:t xml:space="preserve">10.9%</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New Mexico</w:t>
            </w:r>
          </w:p>
        </w:tc>
        <w:tc>
          <w:tcPr>
            <w:tcW w:w="1250" w:type="dxa"/>
            <w:vAlign w:val="center"/>
          </w:tcPr>
          <w:p>
            <w:pPr>
              <w:keepNext/>
              <w:spacing w:before="0" w:after="0"/>
              <w:jc w:val="center"/>
            </w:pPr>
            <w:r>
              <w:rPr>
                <w:sz w:val="17"/>
                <w:szCs w:val="17"/>
              </w:rPr>
              <w:t xml:space="preserve">216,959</w:t>
            </w:r>
          </w:p>
        </w:tc>
        <w:tc>
          <w:tcPr>
            <w:tcW w:w="1250" w:type="dxa"/>
            <w:vAlign w:val="center"/>
          </w:tcPr>
          <w:p>
            <w:pPr>
              <w:keepNext/>
              <w:spacing w:before="0" w:after="0"/>
              <w:jc w:val="center"/>
            </w:pPr>
            <w:r>
              <w:rPr>
                <w:sz w:val="17"/>
                <w:szCs w:val="17"/>
              </w:rPr>
              <w:t xml:space="preserve">227,114</w:t>
            </w:r>
          </w:p>
        </w:tc>
        <w:tc>
          <w:tcPr>
            <w:tcW w:w="1300" w:type="dxa"/>
            <w:vAlign w:val="center"/>
          </w:tcPr>
          <w:p>
            <w:pPr>
              <w:keepNext/>
              <w:spacing w:before="0" w:after="0"/>
              <w:jc w:val="center"/>
            </w:pPr>
            <w:r>
              <w:rPr>
                <w:sz w:val="17"/>
                <w:szCs w:val="17"/>
              </w:rPr>
              <w:t xml:space="preserve">259,317</w:t>
            </w:r>
          </w:p>
        </w:tc>
        <w:tc>
          <w:tcPr>
            <w:tcW w:w="1250" w:type="dxa"/>
            <w:vAlign w:val="center"/>
          </w:tcPr>
          <w:p>
            <w:pPr>
              <w:keepNext/>
              <w:spacing w:before="0" w:after="0"/>
              <w:jc w:val="center"/>
            </w:pPr>
            <w:r>
              <w:rPr>
                <w:sz w:val="17"/>
                <w:szCs w:val="17"/>
              </w:rPr>
              <w:t xml:space="preserve">4.7%</w:t>
            </w:r>
          </w:p>
        </w:tc>
        <w:tc>
          <w:tcPr>
            <w:tcW w:w="1250" w:type="dxa"/>
            <w:vAlign w:val="center"/>
          </w:tcPr>
          <w:p>
            <w:pPr>
              <w:keepNext/>
              <w:spacing w:before="0" w:after="0"/>
              <w:jc w:val="center"/>
            </w:pPr>
            <w:r>
              <w:rPr>
                <w:sz w:val="17"/>
                <w:szCs w:val="17"/>
              </w:rPr>
              <w:t xml:space="preserve">14.2%</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Alaska</w:t>
            </w:r>
          </w:p>
        </w:tc>
        <w:tc>
          <w:tcPr>
            <w:tcW w:w="1250" w:type="dxa"/>
            <w:vAlign w:val="center"/>
          </w:tcPr>
          <w:p>
            <w:pPr>
              <w:keepNext/>
              <w:spacing w:before="0" w:after="0"/>
              <w:jc w:val="center"/>
            </w:pPr>
            <w:r>
              <w:rPr>
                <w:sz w:val="17"/>
                <w:szCs w:val="17"/>
              </w:rPr>
              <w:t xml:space="preserve">141,290</w:t>
            </w:r>
          </w:p>
        </w:tc>
        <w:tc>
          <w:tcPr>
            <w:tcW w:w="1250" w:type="dxa"/>
            <w:vAlign w:val="center"/>
          </w:tcPr>
          <w:p>
            <w:pPr>
              <w:keepNext/>
              <w:spacing w:before="0" w:after="0"/>
              <w:jc w:val="center"/>
            </w:pPr>
            <w:r>
              <w:rPr>
                <w:sz w:val="17"/>
                <w:szCs w:val="17"/>
              </w:rPr>
              <w:t xml:space="preserve">146,358</w:t>
            </w:r>
          </w:p>
        </w:tc>
        <w:tc>
          <w:tcPr>
            <w:tcW w:w="1300" w:type="dxa"/>
            <w:vAlign w:val="center"/>
          </w:tcPr>
          <w:p>
            <w:pPr>
              <w:keepNext/>
              <w:spacing w:before="0" w:after="0"/>
              <w:jc w:val="center"/>
            </w:pPr>
            <w:r>
              <w:rPr>
                <w:sz w:val="17"/>
                <w:szCs w:val="17"/>
              </w:rPr>
              <w:t xml:space="preserve">149,473</w:t>
            </w:r>
          </w:p>
        </w:tc>
        <w:tc>
          <w:tcPr>
            <w:tcW w:w="1250" w:type="dxa"/>
            <w:vAlign w:val="center"/>
          </w:tcPr>
          <w:p>
            <w:pPr>
              <w:keepNext/>
              <w:spacing w:before="0" w:after="0"/>
              <w:jc w:val="center"/>
            </w:pPr>
            <w:r>
              <w:rPr>
                <w:sz w:val="17"/>
                <w:szCs w:val="17"/>
              </w:rPr>
              <w:t xml:space="preserve">3.6%</w:t>
            </w:r>
          </w:p>
        </w:tc>
        <w:tc>
          <w:tcPr>
            <w:tcW w:w="1250" w:type="dxa"/>
            <w:vAlign w:val="center"/>
          </w:tcPr>
          <w:p>
            <w:pPr>
              <w:keepNext/>
              <w:spacing w:before="0" w:after="0"/>
              <w:jc w:val="center"/>
            </w:pPr>
            <w:r>
              <w:rPr>
                <w:sz w:val="17"/>
                <w:szCs w:val="17"/>
              </w:rPr>
              <w:t xml:space="preserve">2.1%</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South Dakota</w:t>
            </w:r>
          </w:p>
        </w:tc>
        <w:tc>
          <w:tcPr>
            <w:tcW w:w="1250" w:type="dxa"/>
            <w:vAlign w:val="center"/>
          </w:tcPr>
          <w:p>
            <w:pPr>
              <w:keepNext/>
              <w:spacing w:before="0" w:after="0"/>
              <w:jc w:val="center"/>
            </w:pPr>
            <w:r>
              <w:rPr>
                <w:sz w:val="17"/>
                <w:szCs w:val="17"/>
              </w:rPr>
              <w:t xml:space="preserve">87,030</w:t>
            </w:r>
          </w:p>
        </w:tc>
        <w:tc>
          <w:tcPr>
            <w:tcW w:w="1250" w:type="dxa"/>
            <w:vAlign w:val="center"/>
          </w:tcPr>
          <w:p>
            <w:pPr>
              <w:keepNext/>
              <w:spacing w:before="0" w:after="0"/>
              <w:jc w:val="center"/>
            </w:pPr>
            <w:r>
              <w:rPr>
                <w:sz w:val="17"/>
                <w:szCs w:val="17"/>
              </w:rPr>
              <w:t xml:space="preserve">90,942</w:t>
            </w:r>
          </w:p>
        </w:tc>
        <w:tc>
          <w:tcPr>
            <w:tcW w:w="1300" w:type="dxa"/>
            <w:vAlign w:val="center"/>
          </w:tcPr>
          <w:p>
            <w:pPr>
              <w:keepNext/>
              <w:spacing w:before="0" w:after="0"/>
              <w:jc w:val="center"/>
            </w:pPr>
            <w:r>
              <w:rPr>
                <w:sz w:val="17"/>
                <w:szCs w:val="17"/>
              </w:rPr>
              <w:t xml:space="preserve">89,972</w:t>
            </w:r>
          </w:p>
        </w:tc>
        <w:tc>
          <w:tcPr>
            <w:tcW w:w="1250" w:type="dxa"/>
            <w:vAlign w:val="center"/>
          </w:tcPr>
          <w:p>
            <w:pPr>
              <w:keepNext/>
              <w:spacing w:before="0" w:after="0"/>
              <w:jc w:val="center"/>
            </w:pPr>
            <w:r>
              <w:rPr>
                <w:sz w:val="17"/>
                <w:szCs w:val="17"/>
              </w:rPr>
              <w:t xml:space="preserve">4.5%</w:t>
            </w:r>
          </w:p>
        </w:tc>
        <w:tc>
          <w:tcPr>
            <w:tcW w:w="1250" w:type="dxa"/>
            <w:vAlign w:val="center"/>
          </w:tcPr>
          <w:p>
            <w:pPr>
              <w:keepNext/>
              <w:spacing w:before="0" w:after="0"/>
              <w:jc w:val="center"/>
            </w:pPr>
            <w:r>
              <w:rPr>
                <w:sz w:val="17"/>
                <w:szCs w:val="17"/>
              </w:rPr>
              <w:t xml:space="preserve">−1.1%</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Montana</w:t>
            </w:r>
          </w:p>
        </w:tc>
        <w:tc>
          <w:tcPr>
            <w:tcW w:w="1250" w:type="dxa"/>
            <w:vAlign w:val="center"/>
          </w:tcPr>
          <w:p>
            <w:pPr>
              <w:keepNext/>
              <w:spacing w:before="0" w:after="0"/>
              <w:jc w:val="center"/>
            </w:pPr>
            <w:r>
              <w:rPr>
                <w:sz w:val="17"/>
                <w:szCs w:val="17"/>
              </w:rPr>
              <w:t xml:space="preserve">81,052</w:t>
            </w:r>
          </w:p>
        </w:tc>
        <w:tc>
          <w:tcPr>
            <w:tcW w:w="1250" w:type="dxa"/>
            <w:vAlign w:val="center"/>
          </w:tcPr>
          <w:p>
            <w:pPr>
              <w:keepNext/>
              <w:spacing w:before="0" w:after="0"/>
              <w:jc w:val="center"/>
            </w:pPr>
            <w:r>
              <w:rPr>
                <w:sz w:val="17"/>
                <w:szCs w:val="17"/>
              </w:rPr>
              <w:t xml:space="preserve">87,660</w:t>
            </w:r>
          </w:p>
        </w:tc>
        <w:tc>
          <w:tcPr>
            <w:tcW w:w="1300" w:type="dxa"/>
            <w:vAlign w:val="center"/>
          </w:tcPr>
          <w:p>
            <w:pPr>
              <w:keepNext/>
              <w:spacing w:before="0" w:after="0"/>
              <w:jc w:val="center"/>
            </w:pPr>
            <w:r>
              <w:rPr>
                <w:sz w:val="17"/>
                <w:szCs w:val="17"/>
              </w:rPr>
              <w:t xml:space="preserve">91,992</w:t>
            </w:r>
          </w:p>
        </w:tc>
        <w:tc>
          <w:tcPr>
            <w:tcW w:w="1250" w:type="dxa"/>
            <w:vAlign w:val="center"/>
          </w:tcPr>
          <w:p>
            <w:pPr>
              <w:keepNext/>
              <w:spacing w:before="0" w:after="0"/>
              <w:jc w:val="center"/>
            </w:pPr>
            <w:r>
              <w:rPr>
                <w:sz w:val="17"/>
                <w:szCs w:val="17"/>
              </w:rPr>
              <w:t xml:space="preserve">8.2%</w:t>
            </w:r>
          </w:p>
        </w:tc>
        <w:tc>
          <w:tcPr>
            <w:tcW w:w="1250" w:type="dxa"/>
            <w:vAlign w:val="center"/>
          </w:tcPr>
          <w:p>
            <w:pPr>
              <w:keepNext/>
              <w:spacing w:before="0" w:after="0"/>
              <w:jc w:val="center"/>
            </w:pPr>
            <w:r>
              <w:rPr>
                <w:sz w:val="17"/>
                <w:szCs w:val="17"/>
              </w:rPr>
              <w:t xml:space="preserve">4.9%</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North Dakota</w:t>
            </w:r>
          </w:p>
        </w:tc>
        <w:tc>
          <w:tcPr>
            <w:tcW w:w="1250" w:type="dxa"/>
            <w:vAlign w:val="center"/>
          </w:tcPr>
          <w:p>
            <w:pPr>
              <w:keepNext/>
              <w:spacing w:before="0" w:after="0"/>
              <w:jc w:val="center"/>
            </w:pPr>
            <w:r>
              <w:rPr>
                <w:sz w:val="17"/>
                <w:szCs w:val="17"/>
              </w:rPr>
              <w:t xml:space="preserve">44,606</w:t>
            </w:r>
          </w:p>
        </w:tc>
        <w:tc>
          <w:tcPr>
            <w:tcW w:w="1250" w:type="dxa"/>
            <w:vAlign w:val="center"/>
          </w:tcPr>
          <w:p>
            <w:pPr>
              <w:keepNext/>
              <w:spacing w:before="0" w:after="0"/>
              <w:jc w:val="center"/>
            </w:pPr>
            <w:r>
              <w:rPr>
                <w:sz w:val="17"/>
                <w:szCs w:val="17"/>
              </w:rPr>
              <w:t xml:space="preserve">50,549</w:t>
            </w:r>
          </w:p>
        </w:tc>
        <w:tc>
          <w:tcPr>
            <w:tcW w:w="1300" w:type="dxa"/>
            <w:vAlign w:val="center"/>
          </w:tcPr>
          <w:p>
            <w:pPr>
              <w:keepNext/>
              <w:spacing w:before="0" w:after="0"/>
              <w:jc w:val="center"/>
            </w:pPr>
            <w:r>
              <w:rPr>
                <w:sz w:val="17"/>
                <w:szCs w:val="17"/>
              </w:rPr>
              <w:t xml:space="preserve">48,997</w:t>
            </w:r>
          </w:p>
        </w:tc>
        <w:tc>
          <w:tcPr>
            <w:tcW w:w="1250" w:type="dxa"/>
            <w:vAlign w:val="center"/>
          </w:tcPr>
          <w:p>
            <w:pPr>
              <w:keepNext/>
              <w:spacing w:before="0" w:after="0"/>
              <w:jc w:val="center"/>
            </w:pPr>
            <w:r>
              <w:rPr>
                <w:sz w:val="17"/>
                <w:szCs w:val="17"/>
              </w:rPr>
              <w:t xml:space="preserve">13.3%</w:t>
            </w:r>
          </w:p>
        </w:tc>
        <w:tc>
          <w:tcPr>
            <w:tcW w:w="1250" w:type="dxa"/>
            <w:vAlign w:val="center"/>
          </w:tcPr>
          <w:p>
            <w:pPr>
              <w:keepNext/>
              <w:spacing w:before="0" w:after="0"/>
              <w:jc w:val="center"/>
            </w:pPr>
            <w:r>
              <w:rPr>
                <w:sz w:val="17"/>
                <w:szCs w:val="17"/>
              </w:rPr>
              <w:t xml:space="preserve">−3.1%</w:t>
            </w:r>
          </w:p>
        </w:tc>
        <w:tc>
          <w:tcPr>
            <w:tcW w:w="1260" w:type="dxa"/>
            <w:vAlign w:val="center"/>
          </w:tcPr>
          <w:p>
            <w:pPr>
              <w:keepNext/>
              <w:spacing w:before="0" w:after="0"/>
              <w:jc w:val="center"/>
            </w:pPr>
            <w:r>
              <w:rPr>
                <w:sz w:val="17"/>
                <w:szCs w:val="17"/>
              </w:rPr>
              <w:t xml:space="preserve">High-IHS</w:t>
            </w:r>
          </w:p>
        </w:tc>
      </w:tr>
      <w:tr>
        <w:trPr>
          <w:cantSplit/>
        </w:trPr>
        <w:tc>
          <w:tcPr>
            <w:tcW w:w="1800" w:type="dxa"/>
            <w:vAlign w:val="center"/>
          </w:tcPr>
          <w:p>
            <w:pPr>
              <w:keepNext/>
              <w:spacing w:before="0" w:after="0"/>
              <w:jc w:val="left"/>
            </w:pPr>
            <w:r>
              <w:rPr>
                <w:sz w:val="17"/>
                <w:szCs w:val="17"/>
              </w:rPr>
              <w:t xml:space="preserve">Wyoming</w:t>
            </w:r>
          </w:p>
        </w:tc>
        <w:tc>
          <w:tcPr>
            <w:tcW w:w="1250" w:type="dxa"/>
            <w:vAlign w:val="center"/>
          </w:tcPr>
          <w:p>
            <w:pPr>
              <w:keepNext/>
              <w:spacing w:before="0" w:after="0"/>
              <w:jc w:val="center"/>
            </w:pPr>
            <w:r>
              <w:rPr>
                <w:sz w:val="17"/>
                <w:szCs w:val="17"/>
              </w:rPr>
              <w:t xml:space="preserve">21,959</w:t>
            </w:r>
          </w:p>
        </w:tc>
        <w:tc>
          <w:tcPr>
            <w:tcW w:w="1250" w:type="dxa"/>
            <w:vAlign w:val="center"/>
          </w:tcPr>
          <w:p>
            <w:pPr>
              <w:keepNext/>
              <w:spacing w:before="0" w:after="0"/>
              <w:jc w:val="center"/>
            </w:pPr>
            <w:r>
              <w:rPr>
                <w:sz w:val="17"/>
                <w:szCs w:val="17"/>
              </w:rPr>
              <w:t xml:space="preserve">21,137</w:t>
            </w:r>
          </w:p>
        </w:tc>
        <w:tc>
          <w:tcPr>
            <w:tcW w:w="1300" w:type="dxa"/>
            <w:vAlign w:val="center"/>
          </w:tcPr>
          <w:p>
            <w:pPr>
              <w:keepNext/>
              <w:spacing w:before="0" w:after="0"/>
              <w:jc w:val="center"/>
            </w:pPr>
            <w:r>
              <w:rPr>
                <w:sz w:val="17"/>
                <w:szCs w:val="17"/>
              </w:rPr>
              <w:t xml:space="preserve">23,384</w:t>
            </w:r>
          </w:p>
        </w:tc>
        <w:tc>
          <w:tcPr>
            <w:tcW w:w="1250" w:type="dxa"/>
            <w:vAlign w:val="center"/>
          </w:tcPr>
          <w:p>
            <w:pPr>
              <w:keepNext/>
              <w:spacing w:before="0" w:after="0"/>
              <w:jc w:val="center"/>
            </w:pPr>
            <w:r>
              <w:rPr>
                <w:sz w:val="17"/>
                <w:szCs w:val="17"/>
              </w:rPr>
              <w:t xml:space="preserve">−3.7%</w:t>
            </w:r>
          </w:p>
        </w:tc>
        <w:tc>
          <w:tcPr>
            <w:tcW w:w="1250" w:type="dxa"/>
            <w:vAlign w:val="center"/>
          </w:tcPr>
          <w:p>
            <w:pPr>
              <w:keepNext/>
              <w:spacing w:before="0" w:after="0"/>
              <w:jc w:val="center"/>
            </w:pPr>
            <w:r>
              <w:rPr>
                <w:sz w:val="17"/>
                <w:szCs w:val="17"/>
              </w:rPr>
              <w:t xml:space="preserve">10.6%</w:t>
            </w:r>
          </w:p>
        </w:tc>
        <w:tc>
          <w:tcPr>
            <w:tcW w:w="1260" w:type="dxa"/>
            <w:vAlign w:val="center"/>
          </w:tcPr>
          <w:p>
            <w:pPr>
              <w:keepNext/>
              <w:spacing w:before="0" w:after="0"/>
              <w:jc w:val="center"/>
            </w:pPr>
            <w:r>
              <w:rPr>
                <w:sz w:val="17"/>
                <w:szCs w:val="17"/>
              </w:rPr>
              <w:t xml:space="preserve">High-IHS</w:t>
            </w:r>
          </w:p>
        </w:tc>
      </w:tr>
    </w:tbl>
    <w:p>
      <w:pPr/>
      <w:r>
        <w:t>Table 2. AIAN alone or in combination population by period, selected states. Growth above 20% in the Δ 2019→24 column is shown in bold. High-IHS states show stable inter-period patterns; low-IHS states do not.</w:t>
      </w:r>
    </w:p>
    <w:p>
      <w:pPr/>
      <w:r>
        <w:t>In the 2014–2019 period, no state in this table grew its AIAN population by more than 27 percent (Nevada). In the 2019–2024 period, nine states grew by more than 40 percent, with Texas (+92.5%), Mississippi (+86.6%), South Carolina (+76.9%), Florida (+72.9%), and California (+58.6%) leading the list. All five are low-IHS states with IHS access rates below 16 percent. The eight high-IHS states, by contrast, grew by 2 to 11 percent in the same period — consistent with their 2014–2019 rates and with demographic plausibility.</w:t>
      </w:r>
    </w:p>
    <w:p>
      <w:pPr/>
      <w:r>
        <w:t>The key diagnostic is the cross-state pattern: states where AIAN self-identifiers are most likely to have genuine IHS relationships (high IHS access rates, reservation or trust land presence, substantial Tribal government infrastructure) show stable, modest growth. States where most AIAN respondents have no reported IHS connection show large discontinuous surges precisely in the period covered by the redesigned 2020 Census race question.</w:t>
      </w:r>
    </w:p>
    <w:p>
      <w:pPr>
        <w:pStyle w:val="Heading1"/>
      </w:pPr>
      <w:r>
        <w:t>III. The 2020 Census Race Question Redesign: What Changed and Why It Matters</w:t>
      </w:r>
    </w:p>
    <w:p>
      <w:pPr/>
      <w:r>
        <w:t>Background</w:t>
      </w:r>
    </w:p>
    <w:p>
      <w:pPr/>
      <w:r>
        <w:t>The race and ethnicity questions on the 2020 Census and subsequent ACS underwent the most significant redesign since 1990. The changes were motivated by decades of research showing that a large share of Hispanic respondents selected “Some Other Race”</w:t>
      </w:r>
      <w:r>
        <w:t xml:space="preserve"> </w:t>
      </w:r>
      <w:pPr/>
      <w:r>
        <w:t>because no category fit their identity, and that American Indians in particular had low and inconsistent response rates due to question format. The Census Bureau made three changes with direct relevance to AIAN counts.</w:t>
      </w:r>
    </w:p>
    <w:p>
      <w:pPr/>
      <w:r>
        <w:t>Change 1: Printed examples added to the AIAN write-in line</w:t>
      </w:r>
    </w:p>
    <w:p>
      <w:pPr/>
      <w:r>
        <w:t>Prior to 2020, the AIAN option appeared as a labeled checkbox with a line for tribal enrollment. The 2020 redesign kept the AIAN checkbox and the “Print name of enrolled or principal tribe(s)” line, and for the first time added printed examples — including tribe names such as “Navajo Nation,” “Mayan,” and “Aztec.” Research by the Census Bureau found that the addition of "Aztec" and "Mayan" as printed examples increased AIAN responses among Hispanic respondents dramatically. These groups are not federally recognized U.S. Tribes, and most members have no relationship with the IHS system, but their members now appear in AIAN counts under the “alone or in combination” tabulation.</w:t>
      </w:r>
    </w:p>
    <w:p>
      <w:pPr/>
      <w:r>
        <w:t>The 2020 Census found the Latin American Indian alone population had grown 345 percent in a decade — from approximately 175,000 to 766,000 — a figure the Census Bureau itself attributes primarily to question design, not demographics.</w:t>
      </w:r>
    </w:p>
    <w:p>
      <w:pPr/>
      <w:r>
        <w:t>Change 2: Expanded write-in coding</w:t>
      </w:r>
    </w:p>
    <w:p>
      <w:pPr/>
      <w:r>
        <w:t>Beginning with 2020 data, the ACS adopted the same processing and coding changes as the 2020 Census. Each write-in area now captures up to 200 characters instead of 30, up to six responses are coded instead of two, and a single code list is used for both race and Hispanic origin. The “alone or in combination” tabulation — used in all three PUMS files in this analysis — captures anyone who marked AIAN as any part of their response. Under the new coding, responses like “Mexican and Aztec” or “Puerto Rican and Taino” now resolve to AIAN in combination. The first ACS 5-year file to include post-change data is 2016–2020; the 2020–2024 file is the first made up entirely of it.</w:t>
      </w:r>
    </w:p>
    <w:p>
      <w:pPr/>
      <w:r>
        <w:t>Change 3: Reduced social desirability barriers to multi-racial identification</w:t>
      </w:r>
    </w:p>
    <w:p>
      <w:pPr/>
      <w:r>
        <w:t>The 2020 redesign was explicitly intended to reduce undercount and normalize multi-racial identification. Research accompanying the redesign found that many individuals who previously selected a single race would, when given an open-ended format with examples, identify as multi-racial. For AIAN, this means the “in combination” population —already the larger of the two categories — expanded further. The White-and-AIAN combination category grew from approximately 1.4 million in 2010 to 4.0 million in 2020, a 177 percent increase, much of it attributed to question design effects.</w:t>
      </w:r>
    </w:p>
    <w:p>
      <w:pPr>
        <w:pStyle w:val="Heading1"/>
      </w:pPr>
      <w:r>
        <w:t>IV. Analytical Implications for IHF Series Work</w:t>
      </w:r>
    </w:p>
    <w:p>
      <w:pPr/>
      <w:r>
        <w:t>The denominator problem</w:t>
      </w:r>
    </w:p>
    <w:p>
      <w:pPr/>
      <w:r>
        <w:t>The most immediate consequence for IHF Series analysis is a denominator problem. Any rate expressed as a share of the AIAN alone-or-in-combination population — Medicaid enrollment rate, IHS access rate, uninsured rate — will appear to decline in the 2020–2024 data even if the numerator is unchanged or growing. The IHS access rate across the 33-state group fell from 29.4 to 20.0 percent between 2014–2019 and 2020–2024, a 9-point apparent drop. The absolute count of individuals reporting IHS access was essentially unchanged (1,284,416 vs. 1,284,134). The rate compression is entirely an artifact of the expanded denominator.</w:t>
      </w:r>
    </w:p>
    <w:p>
      <w:pPr/>
      <w:r>
        <w:t xml:space="preserve">Implication: When using ACS 2020–2024 data for coverage analysis, rates should be expressed against a consistent denominator. Where possible, use the high-IHS subgroup (states where IHS access is 25 percent or more of AI/AN) as the </w:t>
        <w:t>analytically stable population, or anchor estimates to the NPIRS user population and Henson et al. enrollment figure (2,652,345) rather than the ACS self-identifier count.</w:t>
      </w:r>
    </w:p>
    <w:p>
      <w:pPr/>
      <w:r>
        <w:t>The Medicaid rate</w:t>
      </w:r>
    </w:p>
    <w:p>
      <w:pPr/>
      <w:r>
        <w:t>The Medicaid rate across all 33 states rose only 2.0 percentage points (29.6 to 31.6 percent) over the decade despite major Medicaid expansion. The high-IHS group, by contrast, gained 5.3 percentage points. The difference reflects dilution in the low-IHS group: newly self-identified AIAN respondents in large states like Texas (non-expansion through most of this period), Florida (non-expansion), and South Carolina (non-</w:t>
        <w:t>expansion) are entering the denominator without Medicaid enrollment, compressing the rate. The actual coverage gains in high-IHS states — where the trust responsibility relationship is most direct — are thus larger than the all-states aggregate implies.</w:t>
      </w:r>
    </w:p>
    <w:p>
      <w:pPr/>
      <w:r>
        <w:t>The uninsured rate</w:t>
      </w:r>
    </w:p>
    <w:p>
      <w:pPr/>
      <w:r>
        <w:t xml:space="preserve">The uninsured rate is more robust to the denominator problem because the newly self-identified population has a lower uninsured rate than the pre-2020 AIAN population (reflecting its more urban, higher-income composition). The 9.4-percentage-point reduction in the all-states uninsured rate (23.6 to 14.1 percent) likely reflects real </w:t>
        <w:t>coverage gains in the high-IHS group (−11.6 pp) partially blended with the lower-uninsured newly identified group. Caution is warranted in attributing the full 9.4-point reduction to ACA and Medicaid expansion effects.</w:t>
      </w:r>
    </w:p>
    <w:p>
      <w:pPr/>
      <w:r>
        <w:t>Using these data in the IHF Series</w:t>
      </w:r>
    </w:p>
    <w:p>
      <w:pPr/>
      <w:r>
        <w:t>Three analytical conventions are recommended for IHF Series documents that draw on ACS PUMS data spanning 2014 and 2024:</w:t>
      </w:r>
    </w:p>
    <w:p>
      <w:pPr/>
      <w:r>
        <w:t>1. Present IHS access as an absolute count, not a rate. The count is stable and interpretable; the rate is distorted by denominator inflation.</w:t>
      </w:r>
    </w:p>
    <w:p>
      <w:pPr/>
      <w:r>
        <w:t>2. When presenting Medicaid or uninsured rates, note the 2020 race question redesign and its effect on the denominator, and distinguish the high-IHS subgroup trend from the all-states aggregate.</w:t>
      </w:r>
    </w:p>
    <w:p>
      <w:pPr/>
      <w:r>
        <w:t>3. Avoid using ACS 2020–2024 AIAN alone-or-in-combination totals as a proxy for the IHS-eligible or federally-enrolled population. The canonical enrolled population figure (Henson et al., 2,652,345) is derived from tribal self-certification to Treasury and is not subject to the question-design artifact.</w:t>
      </w:r>
    </w:p>
    <w:p>
      <w:pPr/>
      <w:r>
        <w:t>Sources</w:t>
      </w:r>
    </w:p>
    <w:p>
      <w:pPr/>
      <w:r>
        <w:t>ACS 5-Year PUMS, 2010–2014, 2015–2019, 2020–2024 (variables RACAIAN, HINS7, HINS4, HICOV, PWGTP). Race question redesign: Jones et al. (2021), “2020 Census Informational Questionnaire Evaluation,” U.S. Census Bureau; Marks et al. (2023), “A Look at the Largest American Indian and Alaska Native Tribes and Villages.” Enrollment anchor: Henson et al.</w:t>
      </w:r>
    </w:p>
    <w:p>
      <w:pPr/>
      <w:r>
        <w:t>(2021), Policy Brief No. 7, Ash Center/Harvard Kennedy School. Medicaid benchmark: NIHB CMS–IHS Data Match (2025), 941,168 confirmed AI/AN Medicaid enrollees, reference year 2023.</w:t>
      </w:r>
    </w:p>
    <w:p>
      <w:pPr/>
      <w:r>
        <w:t>Terminology note: earlier versions of this paper used “IHS-proximate” and “non-proximate”for the high-IHS and low-IHS state groups.</w:t>
      </w:r>
    </w:p>
    <w:sectPr w:rsidR="00FC693F" w:rsidRPr="0006063C" w:rsidSect="00034616">
      <w:headerReference w:type="default" r:id="rId9"/>
      <w:footerReference w:type="default" r:id="rId10"/>
      <w:pgSz w:w="12240" w:h="15840"/>
      <w:pgMar w:top="1247" w:right="1440" w:bottom="124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99999"/>
        <w:sz w:val="14"/>
      </w:rPr>
      <w:t>Edward J. Fox, PhD | Indian Health Financing Series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502920" cy="628650"/>
          <wp:docPr id="1" name="Picture 1"/>
          <wp:cNvGraphicFramePr>
            <a:graphicFrameLocks noChangeAspect="1"/>
          </wp:cNvGraphicFramePr>
          <a:graphic>
            <a:graphicData uri="http://schemas.openxmlformats.org/drawingml/2006/picture">
              <pic:pic>
                <pic:nvPicPr>
                  <pic:cNvPr id="0" name="iv_e_mask_final_transparent.png"/>
                  <pic:cNvPicPr/>
                </pic:nvPicPr>
                <pic:blipFill>
                  <a:blip r:embed="rId1"/>
                  <a:stretch>
                    <a:fillRect/>
                  </a:stretch>
                </pic:blipFill>
                <pic:spPr>
                  <a:xfrm>
                    <a:off x="0" y="0"/>
                    <a:ext cx="502920" cy="628650"/>
                  </a:xfrm>
                  <a:prstGeom prst="rect"/>
                </pic:spPr>
              </pic:pic>
            </a:graphicData>
          </a:graphic>
        </wp:inline>
      </w:drawing>
    </w:r>
    <w:r>
      <w:rPr>
        <w:rFonts w:ascii="Calibri" w:hAnsi="Calibri"/>
        <w:b/>
        <w:color w:val="128A7D"/>
        <w:sz w:val="15"/>
      </w:rPr>
      <w:t xml:space="preserve">  INDIAN HEALTH FINANCING SERIES  |  Revised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E2E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0"/>
      <w:outlineLvl w:val="0"/>
    </w:pPr>
    <w:rPr>
      <w:rFonts w:asciiTheme="majorHAnsi" w:eastAsiaTheme="majorEastAsia" w:hAnsiTheme="majorHAnsi" w:cstheme="majorBidi" w:ascii="Georgia" w:hAnsi="Georgia"/>
      <w:b/>
      <w:bCs/>
      <w:color w:val="8B2B2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8A7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28A7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J. Fox, PhD</dc:creator>
  <cp:keywords/>
  <dc:description>generated by python-docx</dc:description>
  <cp:lastModifiedBy/>
  <cp:revision>1</cp:revision>
  <dcterms:created xsi:type="dcterms:W3CDTF">2026-10-15T23:54:19Z</dcterms:created>
  <dcterms:modified xsi:type="dcterms:W3CDTF">2026-10-15T23:54:19Z</dcterms:modified>
  <cp:category/>
</cp:coreProperties>
</file>