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/>
          <w:color w:val="6B1F2A"/>
          <w:sz w:val="22"/>
        </w:rPr>
        <w:t>V. Federal Funding Adequacy</w:t>
      </w:r>
    </w:p>
    <w:p>
      <w:pPr>
        <w:autoSpaceDN w:val="0"/>
        <w:autoSpaceDE w:val="0"/>
        <w:widowControl/>
        <w:spacing w:line="254" w:lineRule="auto" w:before="826" w:after="0"/>
        <w:ind w:left="1008" w:right="1008" w:firstLine="0"/>
        <w:jc w:val="center"/>
      </w:pPr>
      <w:r>
        <w:rPr>
          <w:rFonts w:ascii="Liberation Sans" w:hAnsi="Liberation Sans" w:eastAsia="Liberation Sans"/>
          <w:b/>
          <w:i w:val="0"/>
          <w:color w:val="1A1A1A"/>
          <w:sz w:val="50"/>
        </w:rPr>
        <w:t xml:space="preserve">The Full-Funding Requirement </w:t>
      </w:r>
      <w:r>
        <w:rPr>
          <w:rFonts w:ascii="Liberation Sans" w:hAnsi="Liberation Sans" w:eastAsia="Liberation Sans"/>
          <w:b/>
          <w:i w:val="0"/>
          <w:color w:val="1A1A1A"/>
          <w:sz w:val="40"/>
        </w:rPr>
        <w:t>for Indian Health Services:</w:t>
      </w:r>
    </w:p>
    <w:p>
      <w:pPr>
        <w:autoSpaceDN w:val="0"/>
        <w:autoSpaceDE w:val="0"/>
        <w:widowControl/>
        <w:spacing w:line="233" w:lineRule="auto" w:before="88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/>
          <w:color w:val="1A7A6E"/>
          <w:sz w:val="24"/>
        </w:rPr>
        <w:t>Estimating the Total Cost of Health Care for AI/ANs Eligible for IHS-Funded Services</w:t>
      </w:r>
    </w:p>
    <w:p>
      <w:pPr>
        <w:autoSpaceDN w:val="0"/>
        <w:autoSpaceDE w:val="0"/>
        <w:widowControl/>
        <w:spacing w:line="233" w:lineRule="auto" w:before="880" w:after="0"/>
        <w:ind w:left="0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A1A1A"/>
          <w:sz w:val="28"/>
        </w:rPr>
        <w:t>Edward J. Fox, PhD</w:t>
      </w:r>
    </w:p>
    <w:p>
      <w:pPr>
        <w:autoSpaceDN w:val="0"/>
        <w:autoSpaceDE w:val="0"/>
        <w:widowControl/>
        <w:spacing w:line="233" w:lineRule="auto" w:before="86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/>
          <w:color w:val="888888"/>
          <w:sz w:val="22"/>
        </w:rPr>
        <w:t>Indian Health Financing Working Paper (v4)</w:t>
      </w:r>
    </w:p>
    <w:p>
      <w:pPr>
        <w:autoSpaceDN w:val="0"/>
        <w:autoSpaceDE w:val="0"/>
        <w:widowControl/>
        <w:spacing w:line="233" w:lineRule="auto" w:before="68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888888"/>
          <w:sz w:val="22"/>
        </w:rPr>
        <w:t xml:space="preserve">March 2026; </w:t>
      </w:r>
      <w:r>
        <w:rPr>
          <w:rFonts w:ascii="Liberation Sans" w:hAnsi="Liberation Sans" w:eastAsia="Liberation Sans"/>
          <w:b w:val="0"/>
          <w:i w:val="0"/>
          <w:color w:val="888888"/>
          <w:sz w:val="22"/>
        </w:rPr>
        <w:t xml:space="preserve">addendum </w:t>
      </w:r>
      <w:r>
        <w:rPr>
          <w:rFonts w:ascii="Liberation Sans" w:hAnsi="Liberation Sans" w:eastAsia="Liberation Sans"/>
          <w:b w:val="0"/>
          <w:i w:val="0"/>
          <w:color w:val="888888"/>
          <w:sz w:val="22"/>
        </w:rPr>
        <w:t>October 2026</w:t>
      </w:r>
    </w:p>
    <w:p>
      <w:pPr>
        <w:autoSpaceDN w:val="0"/>
        <w:autoSpaceDE w:val="0"/>
        <w:widowControl/>
        <w:spacing w:line="240" w:lineRule="auto" w:before="28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1905000" cy="2381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8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3" w:lineRule="auto" w:before="520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/>
          <w:color w:val="888888"/>
          <w:sz w:val="16"/>
        </w:rPr>
        <w:t>Carved mask, gift to the author from the Port Gamble S’Klallam Tribe</w:t>
      </w:r>
    </w:p>
    <w:p>
      <w:pPr>
        <w:autoSpaceDN w:val="0"/>
        <w:tabs>
          <w:tab w:pos="9272" w:val="left"/>
        </w:tabs>
        <w:autoSpaceDE w:val="0"/>
        <w:widowControl/>
        <w:spacing w:line="268" w:lineRule="exact" w:before="4314" w:after="0"/>
        <w:ind w:left="430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tab/>
      </w:r>
      <w:r>
        <w:rPr>
          <w:rFonts w:ascii="Carlito" w:hAnsi="Carlito" w:eastAsia="Carlito"/>
          <w:b w:val="0"/>
          <w:i w:val="0"/>
          <w:color w:val="000000"/>
          <w:sz w:val="22"/>
        </w:rPr>
        <w:t>1</w:t>
      </w:r>
    </w:p>
    <w:p>
      <w:pPr>
        <w:sectPr>
          <w:pgSz w:w="12240" w:h="15840"/>
          <w:pgMar w:top="724" w:right="1398" w:bottom="360" w:left="14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44"/>
        <w:ind w:left="0" w:right="0"/>
      </w:pPr>
    </w:p>
    <w:p>
      <w:pPr>
        <w:autoSpaceDN w:val="0"/>
        <w:autoSpaceDE w:val="0"/>
        <w:widowControl/>
        <w:spacing w:line="233" w:lineRule="auto" w:before="214" w:after="0"/>
        <w:ind w:left="3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4"/>
        </w:rPr>
        <w:t>Abstract</w:t>
      </w:r>
    </w:p>
    <w:p>
      <w:pPr>
        <w:autoSpaceDN w:val="0"/>
        <w:autoSpaceDE w:val="0"/>
        <w:widowControl/>
        <w:spacing w:line="281" w:lineRule="auto" w:before="126" w:after="0"/>
        <w:ind w:left="3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paper addresses a foundational question in Indian health policy: what would it cost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to provide the full spectrum of health care services to all American Indians and Alaska Natives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(AI/ANs) eligible for Indian Health Service-funded programs? Drawing on the 2023 CMS–IHS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 Match, IHS Congressional Budget Justifications, the NIHB 2022 Budget Formulation brief,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American Community Survey estimates, and Centers for Medicare and Medicaid Services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National Health Expenditure accounts, the analysis constructs a multi-component framework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estimating total need, current federal investment, and the remaining funding gap.</w:t>
      </w:r>
    </w:p>
    <w:p>
      <w:pPr>
        <w:autoSpaceDN w:val="0"/>
        <w:autoSpaceDE w:val="0"/>
        <w:widowControl/>
        <w:spacing w:line="281" w:lineRule="auto" w:before="138" w:after="826"/>
        <w:ind w:left="3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primary estimate places full-spectrum annual need at approximately $37–38 billion,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derived under NHE-parity assumptions applied to the 2.6 million IHS service population. Current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combined federal investment totals approximately $19.3–$19.9 billion, leaving an annual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funding gap of approximately $17.8–$18.0 billion under these assumptions. A sensitivity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analysis across five scenarios places the full-need estimate in the range of $29–$45 billion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annually. Three methodological challenges are analyzed in detail, along with a fourth challenge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concerning unmeasured health care expenditures funded through Contract Support Cost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indirect appropriations.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1.999999999999886" w:type="dxa"/>
      </w:tblPr>
      <w:tblGrid>
        <w:gridCol w:w="9444"/>
      </w:tblGrid>
      <w:tr>
        <w:trPr>
          <w:trHeight w:hRule="atLeast" w:val="426"/>
        </w:trPr>
        <w:tc>
          <w:tcPr>
            <w:tcW w:type="dxa" w:w="9268"/>
            <w:tcBorders>
              <w:start w:sz="18.0" w:val="single" w:color="#1A7A6E"/>
              <w:top w:sz="6.0" w:val="single" w:color="#1A7A6E"/>
              <w:end w:sz="6.0" w:val="single" w:color="#1A7A6E"/>
              <w:bottom w:sz="6.0" w:val="single" w:color="#1A7A6E"/>
            </w:tcBorders>
            <w:shd w:fill="f0f7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4" w:after="0"/>
              <w:ind w:left="16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Note on Estimates and Methodology</w:t>
            </w:r>
          </w:p>
        </w:tc>
      </w:tr>
      <w:tr>
        <w:trPr>
          <w:trHeight w:hRule="atLeast" w:val="2432"/>
        </w:trPr>
        <w:tc>
          <w:tcPr>
            <w:tcW w:type="dxa" w:w="9268"/>
            <w:tcBorders>
              <w:start w:sz="18.0" w:val="single" w:color="#1A7A6E"/>
              <w:top w:sz="6.0" w:val="single" w:color="#1A7A6E"/>
              <w:end w:sz="6.0" w:val="single" w:color="#1A7A6E"/>
              <w:bottom w:sz="6.0" w:val="single" w:color="#1A7A6E"/>
            </w:tcBorders>
            <w:shd w:fill="f0f7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66" w:after="0"/>
              <w:ind w:left="1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 xml:space="preserve">This paper presents analytically constructed estimates integrating datasets with differing </w:t>
            </w: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 xml:space="preserve">definitions, coverage scopes, and reference years—including ACS PUMS, CMS </w:t>
            </w:r>
            <w:r>
              <w:br/>
            </w: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 xml:space="preserve">administrative data, IHS budget documents, and NHE benchmarks. Several key figures, </w:t>
            </w: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 xml:space="preserve">particularly the full-need estimate and the population without Medicaid or Medicare, are </w:t>
            </w: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 xml:space="preserve">derived through multi-step calculations rather than directly observed values. They should be </w:t>
            </w: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 xml:space="preserve">interpreted as benchmark approximations. The Medicaid expenditure component, anchored </w:t>
            </w: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 xml:space="preserve">to the 2023 CMS–IHS Data Match, is the most reliably sourced figure in the analysis. </w:t>
            </w:r>
          </w:p>
          <w:p>
            <w:pPr>
              <w:autoSpaceDN w:val="0"/>
              <w:autoSpaceDE w:val="0"/>
              <w:widowControl/>
              <w:spacing w:line="245" w:lineRule="auto" w:before="8" w:after="0"/>
              <w:ind w:left="160" w:right="288" w:firstLine="0"/>
              <w:jc w:val="left"/>
            </w:pP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 xml:space="preserve">Readers using this analysis for policy or program decisions are encouraged to </w:t>
            </w:r>
            <w:r>
              <w:br/>
            </w:r>
            <w:r>
              <w:rPr>
                <w:rFonts w:ascii="Liberation Sans" w:hAnsi="Liberation Sans" w:eastAsia="Liberation Sans"/>
                <w:b w:val="0"/>
                <w:i/>
                <w:color w:val="444444"/>
                <w:sz w:val="22"/>
              </w:rPr>
              <w:t>independently verify key figures and to consult the methodological discussion in Section 6.</w:t>
            </w:r>
          </w:p>
        </w:tc>
      </w:tr>
    </w:tbl>
    <w:p>
      <w:pPr>
        <w:autoSpaceDN w:val="0"/>
        <w:autoSpaceDE w:val="0"/>
        <w:widowControl/>
        <w:spacing w:line="233" w:lineRule="auto" w:before="248" w:after="0"/>
        <w:ind w:left="3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4"/>
        </w:rPr>
        <w:t>Key Findings</w:t>
      </w:r>
    </w:p>
    <w:p>
      <w:pPr>
        <w:autoSpaceDN w:val="0"/>
        <w:autoSpaceDE w:val="0"/>
        <w:widowControl/>
        <w:spacing w:line="269" w:lineRule="auto" w:before="126" w:after="0"/>
        <w:ind w:left="434" w:right="144" w:hanging="40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 xml:space="preserve">1. 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Full-spectrum annual need for the 2.6 million IHS service population, benchmarked to 2023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NHE per-capita rates (~$14,500) under NHE-parity assumptions, is estimated at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approximately $37–38 billion (sensitivity range: $29–$45 billion).</w:t>
      </w:r>
    </w:p>
    <w:p>
      <w:pPr>
        <w:autoSpaceDN w:val="0"/>
        <w:tabs>
          <w:tab w:pos="434" w:val="left"/>
        </w:tabs>
        <w:autoSpaceDE w:val="0"/>
        <w:widowControl/>
        <w:spacing w:line="259" w:lineRule="auto" w:before="158" w:after="0"/>
        <w:ind w:left="34" w:right="576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 xml:space="preserve">2. 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Current combined federal investment totals approximately $19.6 billion at the midpoint,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covering roughly 52% of full need.</w:t>
      </w:r>
    </w:p>
    <w:p>
      <w:pPr>
        <w:autoSpaceDN w:val="0"/>
        <w:autoSpaceDE w:val="0"/>
        <w:widowControl/>
        <w:spacing w:line="269" w:lineRule="auto" w:before="158" w:after="0"/>
        <w:ind w:left="434" w:right="0" w:hanging="40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 xml:space="preserve">3. 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Under the NHE-parity framework, the annual funding gap is approximately $17.8–$18.0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billion — a floor estimate that does not include unmeasured Tribal own-source expenditures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or CSC indirect health care channels.</w:t>
      </w:r>
    </w:p>
    <w:p>
      <w:pPr>
        <w:autoSpaceDN w:val="0"/>
        <w:tabs>
          <w:tab w:pos="9282" w:val="left"/>
        </w:tabs>
        <w:autoSpaceDE w:val="0"/>
        <w:widowControl/>
        <w:spacing w:line="268" w:lineRule="exact" w:before="1038" w:after="0"/>
        <w:ind w:left="431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tab/>
      </w:r>
      <w:r>
        <w:rPr>
          <w:rFonts w:ascii="Carlito" w:hAnsi="Carlito" w:eastAsia="Carlito"/>
          <w:b w:val="0"/>
          <w:i w:val="0"/>
          <w:color w:val="000000"/>
          <w:sz w:val="22"/>
        </w:rPr>
        <w:t>2</w:t>
      </w:r>
    </w:p>
    <w:p>
      <w:pPr>
        <w:sectPr>
          <w:pgSz w:w="12240" w:h="15840"/>
          <w:pgMar w:top="864" w:right="1388" w:bottom="360" w:left="140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2"/>
        <w:ind w:left="0" w:right="0"/>
      </w:pPr>
    </w:p>
    <w:p>
      <w:pPr>
        <w:autoSpaceDN w:val="0"/>
        <w:tabs>
          <w:tab w:pos="544" w:val="left"/>
          <w:tab w:pos="5496" w:val="left"/>
          <w:tab w:pos="6352" w:val="left"/>
        </w:tabs>
        <w:autoSpaceDE w:val="0"/>
        <w:widowControl/>
        <w:spacing w:line="262" w:lineRule="auto" w:before="20" w:after="0"/>
        <w:ind w:left="144" w:right="432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 xml:space="preserve">4. 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capital infrastructure investment of approximately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$30–$34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billion, phased over 10–15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years, is required to address the IHS facilities crisis.</w:t>
      </w:r>
    </w:p>
    <w:p>
      <w:pPr>
        <w:autoSpaceDN w:val="0"/>
        <w:autoSpaceDE w:val="0"/>
        <w:widowControl/>
        <w:spacing w:line="274" w:lineRule="auto" w:before="156" w:after="0"/>
        <w:ind w:left="544" w:right="0" w:hanging="40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 xml:space="preserve">5. 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778,000 individuals—30% of the 2.6M IHS service population and 51% of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IHS-access population—lack coverage through Medicaid or Medicare. The funding gap falls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disproportionately on this uninsured population, whose care depends almost entirely 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discretionary IHS appropriations and PRC.</w:t>
      </w:r>
    </w:p>
    <w:p>
      <w:pPr>
        <w:autoSpaceDN w:val="0"/>
        <w:autoSpaceDE w:val="0"/>
        <w:widowControl/>
        <w:spacing w:line="274" w:lineRule="auto" w:before="156" w:after="0"/>
        <w:ind w:left="544" w:right="0" w:hanging="40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 xml:space="preserve">6. 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Sensitivity analysis across five scenarios — varying population denominator, benchmark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rate,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and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insurance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offset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assumptions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—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produces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full-need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estimates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ranging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from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$23.9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billion to $45.2 billion, reflecting the range of defensible methodological choices rather than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measurement error.</w:t>
      </w:r>
    </w:p>
    <w:p>
      <w:pPr>
        <w:autoSpaceDN w:val="0"/>
        <w:tabs>
          <w:tab w:pos="544" w:val="left"/>
        </w:tabs>
        <w:autoSpaceDE w:val="0"/>
        <w:widowControl/>
        <w:spacing w:line="262" w:lineRule="auto" w:before="156" w:after="0"/>
        <w:ind w:left="144" w:right="1296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 xml:space="preserve">7. 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current IHS per-capita rate of $4,078 per active user (FY 2023) represents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approximately 28% of the 2023 NHE benchmark.</w:t>
      </w:r>
    </w:p>
    <w:p>
      <w:pPr>
        <w:autoSpaceDN w:val="0"/>
        <w:autoSpaceDE w:val="0"/>
        <w:widowControl/>
        <w:spacing w:line="233" w:lineRule="auto" w:before="912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1.  The Question and Its Analytical Layers</w:t>
      </w:r>
    </w:p>
    <w:p>
      <w:pPr>
        <w:autoSpaceDN w:val="0"/>
        <w:autoSpaceDE w:val="0"/>
        <w:widowControl/>
        <w:spacing w:line="278" w:lineRule="auto" w:before="268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question—what is the total need to fund full-spectrum health care for AI/ANs eligible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for IHS-funded services?—requires three prior analytical decisions before it can be answered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with precision. The first is the population decision: who counts as eligible? The second is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benchmark decision: what does “full spectrum” health care cost per person? The third is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offset decision: which existing funding streams count against the need estimate? Each embeds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 policy judgment, not merely a technical choice.</w:t>
      </w:r>
    </w:p>
    <w:p>
      <w:pPr>
        <w:autoSpaceDN w:val="0"/>
        <w:autoSpaceDE w:val="0"/>
        <w:widowControl/>
        <w:spacing w:line="245" w:lineRule="auto" w:before="266" w:after="0"/>
        <w:ind w:left="504" w:right="144" w:firstLine="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 xml:space="preserve">Estimation Logic (Summary):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Current federal spending (~$19.6B) → Implied per-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capita spending (~$7,500 per eligible person) → National per-capita benchmark (~$14,5</w:t>
      </w:r>
      <w:r>
        <w:rPr>
          <w:rFonts w:ascii="Liberation Sans" w:hAnsi="Liberation Sans" w:eastAsia="Liberation Sans"/>
          <w:b w:val="0"/>
          <w:i w:val="0"/>
          <w:color w:val="C69200"/>
          <w:sz w:val="22"/>
        </w:rPr>
        <w:t xml:space="preserve">00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NHE 2023) → Total need (~$37.7B) → Funding gap (~$17.8–18.0B annually). This flow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is anchored in observed spending, not constructed need. Sections 2–5 develop each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component in turn.</w:t>
      </w:r>
    </w:p>
    <w:p>
      <w:pPr>
        <w:autoSpaceDN w:val="0"/>
        <w:autoSpaceDE w:val="0"/>
        <w:widowControl/>
        <w:spacing w:line="233" w:lineRule="auto" w:before="460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2.  The Population Denominator</w:t>
      </w:r>
    </w:p>
    <w:p>
      <w:pPr>
        <w:autoSpaceDN w:val="0"/>
        <w:tabs>
          <w:tab w:pos="864" w:val="left"/>
        </w:tabs>
        <w:autoSpaceDE w:val="0"/>
        <w:widowControl/>
        <w:spacing w:line="259" w:lineRule="auto" w:before="268" w:after="0"/>
        <w:ind w:left="144" w:right="144" w:firstLine="0"/>
        <w:jc w:val="left"/>
      </w:pP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Three population concepts appear in the Indian health financing literature, each with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distinct analytical rationale. Table 1 summarizes the key distinctions.</w:t>
      </w:r>
    </w:p>
    <w:p>
      <w:pPr>
        <w:autoSpaceDN w:val="0"/>
        <w:autoSpaceDE w:val="0"/>
        <w:widowControl/>
        <w:spacing w:line="233" w:lineRule="auto" w:before="446" w:after="102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Table 1.  IHS Population Concepts and Analytical Uses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" w:type="dxa"/>
      </w:tblPr>
      <w:tblGrid>
        <w:gridCol w:w="2386"/>
        <w:gridCol w:w="2386"/>
        <w:gridCol w:w="2386"/>
        <w:gridCol w:w="2386"/>
      </w:tblGrid>
      <w:tr>
        <w:trPr>
          <w:trHeight w:hRule="atLeast" w:val="410"/>
        </w:trPr>
        <w:tc>
          <w:tcPr>
            <w:tcW w:type="dxa" w:w="256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Population Concept</w:t>
            </w:r>
          </w:p>
        </w:tc>
        <w:tc>
          <w:tcPr>
            <w:tcW w:type="dxa" w:w="146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36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Count</w:t>
            </w:r>
          </w:p>
        </w:tc>
        <w:tc>
          <w:tcPr>
            <w:tcW w:type="dxa" w:w="214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50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Source</w:t>
            </w:r>
          </w:p>
        </w:tc>
        <w:tc>
          <w:tcPr>
            <w:tcW w:type="dxa" w:w="320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776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Analytical Use</w:t>
            </w:r>
          </w:p>
        </w:tc>
      </w:tr>
    </w:tbl>
    <w:p>
      <w:pPr>
        <w:autoSpaceDN w:val="0"/>
        <w:autoSpaceDE w:val="0"/>
        <w:widowControl/>
        <w:spacing w:line="233" w:lineRule="auto" w:before="88" w:after="4"/>
        <w:ind w:left="0" w:right="304" w:firstLine="0"/>
        <w:jc w:val="righ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Per-capita spending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1.99999999999989" w:type="dxa"/>
      </w:tblPr>
      <w:tblGrid>
        <w:gridCol w:w="2386"/>
        <w:gridCol w:w="2386"/>
        <w:gridCol w:w="2386"/>
        <w:gridCol w:w="2386"/>
      </w:tblGrid>
      <w:tr>
        <w:trPr>
          <w:trHeight w:hRule="atLeast" w:val="250"/>
        </w:trPr>
        <w:tc>
          <w:tcPr>
            <w:tcW w:type="dxa" w:w="236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30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IHS Active Users</w:t>
            </w:r>
          </w:p>
        </w:tc>
        <w:tc>
          <w:tcPr>
            <w:tcW w:type="dxa" w:w="174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30" w:after="0"/>
              <w:ind w:left="0" w:right="42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~1.65M</w:t>
            </w:r>
          </w:p>
        </w:tc>
        <w:tc>
          <w:tcPr>
            <w:tcW w:type="dxa" w:w="27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IHS Congressional </w:t>
            </w:r>
          </w:p>
        </w:tc>
        <w:tc>
          <w:tcPr>
            <w:tcW w:type="dxa" w:w="24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2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denominator; reflects </w:t>
            </w:r>
          </w:p>
        </w:tc>
      </w:tr>
      <w:tr>
        <w:trPr>
          <w:trHeight w:hRule="atLeast" w:val="256"/>
        </w:trPr>
        <w:tc>
          <w:tcPr>
            <w:tcW w:type="dxa" w:w="2386"/>
            <w:vMerge/>
            <w:tcBorders/>
          </w:tcPr>
          <w:p/>
        </w:tc>
        <w:tc>
          <w:tcPr>
            <w:tcW w:type="dxa" w:w="2386"/>
            <w:vMerge/>
            <w:tcBorders/>
          </w:tcPr>
          <w:p/>
        </w:tc>
        <w:tc>
          <w:tcPr>
            <w:tcW w:type="dxa" w:w="27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" w:after="0"/>
              <w:ind w:left="4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Budget Justifications</w:t>
            </w:r>
          </w:p>
        </w:tc>
        <w:tc>
          <w:tcPr>
            <w:tcW w:type="dxa" w:w="24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funding-constrained </w:t>
            </w:r>
          </w:p>
        </w:tc>
      </w:tr>
    </w:tbl>
    <w:p>
      <w:pPr>
        <w:autoSpaceDN w:val="0"/>
        <w:autoSpaceDE w:val="0"/>
        <w:widowControl/>
        <w:spacing w:line="233" w:lineRule="auto" w:before="4" w:after="0"/>
        <w:ind w:left="0" w:right="1404" w:firstLine="0"/>
        <w:jc w:val="righ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utilization</w:t>
      </w:r>
    </w:p>
    <w:p>
      <w:pPr>
        <w:autoSpaceDN w:val="0"/>
        <w:tabs>
          <w:tab w:pos="9392" w:val="left"/>
        </w:tabs>
        <w:autoSpaceDE w:val="0"/>
        <w:widowControl/>
        <w:spacing w:line="268" w:lineRule="exact" w:before="906" w:after="0"/>
        <w:ind w:left="442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tab/>
      </w:r>
      <w:r>
        <w:rPr>
          <w:rFonts w:ascii="Carlito" w:hAnsi="Carlito" w:eastAsia="Carlito"/>
          <w:b w:val="0"/>
          <w:i w:val="0"/>
          <w:color w:val="000000"/>
          <w:sz w:val="22"/>
        </w:rPr>
        <w:t>3</w:t>
      </w:r>
    </w:p>
    <w:p>
      <w:pPr>
        <w:sectPr>
          <w:pgSz w:w="12240" w:h="15840"/>
          <w:pgMar w:top="714" w:right="1398" w:bottom="360" w:left="129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2350"/>
        <w:gridCol w:w="2350"/>
        <w:gridCol w:w="2350"/>
        <w:gridCol w:w="2350"/>
      </w:tblGrid>
      <w:tr>
        <w:trPr>
          <w:trHeight w:hRule="atLeast" w:val="320"/>
        </w:trPr>
        <w:tc>
          <w:tcPr>
            <w:tcW w:type="dxa" w:w="264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6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IHS Service Population</w:t>
            </w:r>
          </w:p>
        </w:tc>
        <w:tc>
          <w:tcPr>
            <w:tcW w:type="dxa" w:w="138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66" w:after="0"/>
              <w:ind w:left="2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~2.6M</w:t>
            </w:r>
          </w:p>
        </w:tc>
        <w:tc>
          <w:tcPr>
            <w:tcW w:type="dxa" w:w="278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34" w:after="0"/>
              <w:ind w:left="50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IHS CJ / NIHB 2022 </w:t>
            </w:r>
          </w:p>
        </w:tc>
        <w:tc>
          <w:tcPr>
            <w:tcW w:type="dxa" w:w="256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Eligibility-based full-</w:t>
            </w:r>
          </w:p>
        </w:tc>
      </w:tr>
      <w:tr>
        <w:trPr>
          <w:trHeight w:hRule="atLeast" w:val="26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56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2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need denominator; </w:t>
            </w:r>
          </w:p>
        </w:tc>
      </w:tr>
      <w:tr>
        <w:trPr>
          <w:trHeight w:hRule="atLeast" w:val="262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7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" w:after="0"/>
              <w:ind w:left="50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Budget Formulation</w:t>
            </w:r>
          </w:p>
        </w:tc>
        <w:tc>
          <w:tcPr>
            <w:tcW w:type="dxa" w:w="256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" w:after="0"/>
              <w:ind w:left="2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recommended for full-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.0" w:type="dxa"/>
      </w:tblPr>
      <w:tblGrid>
        <w:gridCol w:w="2350"/>
        <w:gridCol w:w="2350"/>
        <w:gridCol w:w="2350"/>
        <w:gridCol w:w="2350"/>
      </w:tblGrid>
      <w:tr>
        <w:trPr>
          <w:trHeight w:hRule="atLeast" w:val="318"/>
        </w:trPr>
        <w:tc>
          <w:tcPr>
            <w:tcW w:type="dxa" w:w="25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532" w:after="0"/>
              <w:ind w:left="6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IHS-Access Medicaid </w:t>
            </w:r>
          </w:p>
        </w:tc>
        <w:tc>
          <w:tcPr>
            <w:tcW w:type="dxa" w:w="15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7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941,168</w:t>
            </w:r>
          </w:p>
        </w:tc>
        <w:tc>
          <w:tcPr>
            <w:tcW w:type="dxa" w:w="27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532" w:after="0"/>
              <w:ind w:left="4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2023 CMS–IHS Data </w:t>
            </w:r>
          </w:p>
        </w:tc>
        <w:tc>
          <w:tcPr>
            <w:tcW w:type="dxa" w:w="246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funding estimates</w:t>
            </w:r>
          </w:p>
        </w:tc>
      </w:tr>
      <w:tr>
        <w:trPr>
          <w:trHeight w:hRule="atLeast" w:val="34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4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9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Best-verified subset; </w:t>
            </w:r>
          </w:p>
        </w:tc>
      </w:tr>
      <w:tr>
        <w:trPr>
          <w:trHeight w:hRule="atLeast" w:val="12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46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basis for Medicaid </w:t>
            </w:r>
          </w:p>
        </w:tc>
      </w:tr>
      <w:tr>
        <w:trPr>
          <w:trHeight w:hRule="atLeast" w:val="140"/>
        </w:trPr>
        <w:tc>
          <w:tcPr>
            <w:tcW w:type="dxa" w:w="252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8" w:after="0"/>
              <w:ind w:left="6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Enrollees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74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8" w:after="0"/>
              <w:ind w:left="4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Match</w:t>
            </w:r>
          </w:p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31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4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expenditure estimates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2350"/>
        <w:gridCol w:w="2350"/>
        <w:gridCol w:w="2350"/>
        <w:gridCol w:w="2350"/>
      </w:tblGrid>
      <w:tr>
        <w:trPr>
          <w:trHeight w:hRule="atLeast" w:val="328"/>
        </w:trPr>
        <w:tc>
          <w:tcPr>
            <w:tcW w:type="dxa" w:w="278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3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IHS-Access with No CMS </w:t>
            </w:r>
          </w:p>
        </w:tc>
        <w:tc>
          <w:tcPr>
            <w:tcW w:type="dxa" w:w="142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38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~778,000 </w:t>
            </w:r>
          </w:p>
        </w:tc>
        <w:tc>
          <w:tcPr>
            <w:tcW w:type="dxa" w:w="256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3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ACS 5-Year PUMS </w:t>
            </w:r>
          </w:p>
        </w:tc>
        <w:tc>
          <w:tcPr>
            <w:tcW w:type="dxa" w:w="26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2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Population whose </w:t>
            </w:r>
          </w:p>
        </w:tc>
      </w:tr>
      <w:tr>
        <w:trPr>
          <w:trHeight w:hRule="atLeast" w:val="26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6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care falls entirely on </w:t>
            </w:r>
          </w:p>
        </w:tc>
      </w:tr>
      <w:tr>
        <w:trPr>
          <w:trHeight w:hRule="atLeast" w:val="254"/>
        </w:trPr>
        <w:tc>
          <w:tcPr>
            <w:tcW w:type="dxa" w:w="27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Coverage</w:t>
            </w:r>
          </w:p>
        </w:tc>
        <w:tc>
          <w:tcPr>
            <w:tcW w:type="dxa" w:w="142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(~51%)</w:t>
            </w:r>
          </w:p>
        </w:tc>
        <w:tc>
          <w:tcPr>
            <w:tcW w:type="dxa" w:w="256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2024 × Data Match</w:t>
            </w:r>
          </w:p>
        </w:tc>
        <w:tc>
          <w:tcPr>
            <w:tcW w:type="dxa" w:w="26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IHS appropriations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540.0" w:type="dxa"/>
      </w:tblPr>
      <w:tblGrid>
        <w:gridCol w:w="9400"/>
      </w:tblGrid>
      <w:tr>
        <w:trPr>
          <w:trHeight w:hRule="atLeast" w:val="308"/>
        </w:trPr>
        <w:tc>
          <w:tcPr>
            <w:tcW w:type="dxa" w:w="514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" w:after="0"/>
              <w:ind w:left="0" w:right="706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and PRC</w:t>
            </w:r>
          </w:p>
        </w:tc>
      </w:tr>
    </w:tbl>
    <w:p>
      <w:pPr>
        <w:autoSpaceDN w:val="0"/>
        <w:autoSpaceDE w:val="0"/>
        <w:widowControl/>
        <w:spacing w:line="233" w:lineRule="auto" w:before="536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The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active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user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population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(~1.65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million)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understates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true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eligibility—it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counts</w:t>
      </w:r>
    </w:p>
    <w:p>
      <w:pPr>
        <w:autoSpaceDN w:val="0"/>
        <w:autoSpaceDE w:val="0"/>
        <w:widowControl/>
        <w:spacing w:line="233" w:lineRule="auto" w:before="58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utilization under a rationed system, not the full eligible population. The service population (~2.6 </w:t>
      </w:r>
    </w:p>
    <w:p>
      <w:pPr>
        <w:autoSpaceDN w:val="0"/>
        <w:autoSpaceDE w:val="0"/>
        <w:widowControl/>
        <w:spacing w:line="233" w:lineRule="auto" w:before="56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million) is the appropriate denominator for a full-need estimate. The 2023 CMS–IHS Data Match </w:t>
      </w:r>
    </w:p>
    <w:p>
      <w:pPr>
        <w:autoSpaceDN w:val="0"/>
        <w:autoSpaceDE w:val="0"/>
        <w:widowControl/>
        <w:spacing w:line="233" w:lineRule="auto" w:before="58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(941,168 IHS-access Medicaid enrollees) is the right denominator for Medicaid-specific </w:t>
      </w:r>
    </w:p>
    <w:p>
      <w:pPr>
        <w:autoSpaceDN w:val="0"/>
        <w:autoSpaceDE w:val="0"/>
        <w:widowControl/>
        <w:spacing w:line="233" w:lineRule="auto" w:before="56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analyses. The primary estimate in this paper uses the 2.6 million service population.</w:t>
      </w:r>
    </w:p>
    <w:p>
      <w:pPr>
        <w:autoSpaceDN w:val="0"/>
        <w:autoSpaceDE w:val="0"/>
        <w:widowControl/>
        <w:spacing w:line="245" w:lineRule="auto" w:before="138" w:after="0"/>
        <w:ind w:left="362" w:right="576" w:firstLine="0"/>
        <w:jc w:val="left"/>
      </w:pPr>
      <w:r>
        <w:rPr>
          <w:rFonts w:ascii="Liberation Sans" w:hAnsi="Liberation Sans" w:eastAsia="Liberation Sans"/>
          <w:b w:val="0"/>
          <w:i/>
          <w:color w:val="666666"/>
          <w:sz w:val="18"/>
        </w:rPr>
        <w:t xml:space="preserve">Note: Active user counts reflect funding-constrained utilization, not the eligible population. Because IHS </w:t>
      </w:r>
      <w:r>
        <w:rPr>
          <w:rFonts w:ascii="Liberation Sans" w:hAnsi="Liberation Sans" w:eastAsia="Liberation Sans"/>
          <w:b w:val="0"/>
          <w:i/>
          <w:color w:val="666666"/>
          <w:sz w:val="18"/>
        </w:rPr>
        <w:t xml:space="preserve">cannot serve all eligible individuals under current appropriations, active user figures systematically </w:t>
      </w:r>
      <w:r>
        <w:rPr>
          <w:rFonts w:ascii="Liberation Sans" w:hAnsi="Liberation Sans" w:eastAsia="Liberation Sans"/>
          <w:b w:val="0"/>
          <w:i/>
          <w:color w:val="666666"/>
          <w:sz w:val="18"/>
        </w:rPr>
        <w:t xml:space="preserve">understate the population that would seek services under full funding. Section 6.1 analyzes this utilization </w:t>
      </w:r>
      <w:r>
        <w:rPr>
          <w:rFonts w:ascii="Liberation Sans" w:hAnsi="Liberation Sans" w:eastAsia="Liberation Sans"/>
          <w:b w:val="0"/>
          <w:i/>
          <w:color w:val="666666"/>
          <w:sz w:val="18"/>
        </w:rPr>
        <w:t>artifact problem in detail.</w:t>
      </w:r>
    </w:p>
    <w:p>
      <w:pPr>
        <w:autoSpaceDN w:val="0"/>
        <w:tabs>
          <w:tab w:pos="9250" w:val="left"/>
        </w:tabs>
        <w:autoSpaceDE w:val="0"/>
        <w:widowControl/>
        <w:spacing w:line="268" w:lineRule="exact" w:before="7218" w:after="0"/>
        <w:ind w:left="4286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tab/>
      </w:r>
      <w:r>
        <w:rPr>
          <w:rFonts w:ascii="Carlito" w:hAnsi="Carlito" w:eastAsia="Carlito"/>
          <w:b w:val="0"/>
          <w:i w:val="0"/>
          <w:color w:val="000000"/>
          <w:sz w:val="22"/>
        </w:rPr>
        <w:t>4</w:t>
      </w:r>
    </w:p>
    <w:p>
      <w:pPr>
        <w:sectPr>
          <w:pgSz w:w="12240" w:h="15840"/>
          <w:pgMar w:top="720" w:right="1400" w:bottom="360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4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3.  The Full-Spectrum Benchmark</w:t>
      </w:r>
    </w:p>
    <w:p>
      <w:pPr>
        <w:autoSpaceDN w:val="0"/>
        <w:autoSpaceDE w:val="0"/>
        <w:widowControl/>
        <w:spacing w:line="281" w:lineRule="auto" w:before="268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standard benchmark for “full-spectrum health care” in the Indian health policy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literature is the CMS National Health Expenditure per-capita rate.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 This analysis does not rely on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a single benchmark; it uses NHE as the midpoint of a defensible range. The Medicaid-like per-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capita rate functions as a floor (minimum obligation); the unadjusted NHE average functions as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midpoint (parity standard); and an NHE rate adjusted upward 20% for documented AI/AN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disease burden functions as the ceiling (actuarially appropriate obligation). The primary estimate</w:t>
      </w:r>
      <w:r>
        <w:rPr>
          <w:rFonts w:ascii="Liberation Sans" w:hAnsi="Liberation Sans" w:eastAsia="Liberation Sans"/>
          <w:b w:val="0"/>
          <w:i w:val="0"/>
          <w:color w:val="C69200"/>
          <w:sz w:val="22"/>
        </w:rPr>
        <w:t xml:space="preserve">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in this paper uses the unadjusted NHE midpoint as a conservative, transparent, and widely-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recognized standard.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Table 2 presents the relevant NHE benchmark values.</w:t>
      </w:r>
    </w:p>
    <w:p>
      <w:pPr>
        <w:autoSpaceDN w:val="0"/>
        <w:autoSpaceDE w:val="0"/>
        <w:widowControl/>
        <w:spacing w:line="233" w:lineRule="auto" w:before="446" w:after="10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Table 2.  Per-Capita Benchmark Values and IHS Actual Spending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" w:type="dxa"/>
      </w:tblPr>
      <w:tblGrid>
        <w:gridCol w:w="2394"/>
        <w:gridCol w:w="2394"/>
        <w:gridCol w:w="2394"/>
        <w:gridCol w:w="2394"/>
      </w:tblGrid>
      <w:tr>
        <w:trPr>
          <w:trHeight w:hRule="atLeast" w:val="412"/>
        </w:trPr>
        <w:tc>
          <w:tcPr>
            <w:tcW w:type="dxa" w:w="218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Benchmark</w:t>
            </w:r>
          </w:p>
        </w:tc>
        <w:tc>
          <w:tcPr>
            <w:tcW w:type="dxa" w:w="168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34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Per Capita</w:t>
            </w:r>
          </w:p>
        </w:tc>
        <w:tc>
          <w:tcPr>
            <w:tcW w:type="dxa" w:w="184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6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Source</w:t>
            </w:r>
          </w:p>
        </w:tc>
        <w:tc>
          <w:tcPr>
            <w:tcW w:type="dxa" w:w="366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58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Notes</w:t>
            </w:r>
          </w:p>
        </w:tc>
      </w:tr>
      <w:tr>
        <w:trPr>
          <w:trHeight w:hRule="atLeast" w:val="322"/>
        </w:trPr>
        <w:tc>
          <w:tcPr>
            <w:tcW w:type="dxa" w:w="21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2018 NHE (NIHB </w:t>
            </w:r>
          </w:p>
        </w:tc>
        <w:tc>
          <w:tcPr>
            <w:tcW w:type="dxa" w:w="16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0" w:after="0"/>
              <w:ind w:left="3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$11,172</w:t>
            </w:r>
          </w:p>
        </w:tc>
        <w:tc>
          <w:tcPr>
            <w:tcW w:type="dxa" w:w="184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0" w:after="0"/>
              <w:ind w:left="26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CMS NHE</w:t>
            </w:r>
          </w:p>
        </w:tc>
        <w:tc>
          <w:tcPr>
            <w:tcW w:type="dxa" w:w="36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5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Used in NIHB $29.05B full-</w:t>
            </w:r>
          </w:p>
        </w:tc>
      </w:tr>
      <w:tr>
        <w:trPr>
          <w:trHeight w:hRule="atLeast" w:val="140"/>
        </w:trPr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366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5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funding calculation; </w:t>
            </w:r>
          </w:p>
        </w:tc>
      </w:tr>
      <w:tr>
        <w:trPr>
          <w:trHeight w:hRule="atLeast" w:val="120"/>
        </w:trPr>
        <w:tc>
          <w:tcPr>
            <w:tcW w:type="dxa" w:w="21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brief)</w:t>
            </w:r>
          </w:p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</w:tr>
      <w:tr>
        <w:trPr>
          <w:trHeight w:hRule="atLeast" w:val="318"/>
        </w:trPr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36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" w:after="0"/>
              <w:ind w:left="5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2018/2019 vintage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" w:type="dxa"/>
      </w:tblPr>
      <w:tblGrid>
        <w:gridCol w:w="2394"/>
        <w:gridCol w:w="2394"/>
        <w:gridCol w:w="2394"/>
        <w:gridCol w:w="2394"/>
      </w:tblGrid>
      <w:tr>
        <w:trPr>
          <w:trHeight w:hRule="atLeast" w:val="322"/>
        </w:trPr>
        <w:tc>
          <w:tcPr>
            <w:tcW w:type="dxa" w:w="182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0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2022 NHE</w:t>
            </w:r>
          </w:p>
        </w:tc>
        <w:tc>
          <w:tcPr>
            <w:tcW w:type="dxa" w:w="188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0" w:after="0"/>
              <w:ind w:left="0" w:right="384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$13,493</w:t>
            </w:r>
          </w:p>
        </w:tc>
        <w:tc>
          <w:tcPr>
            <w:tcW w:type="dxa" w:w="200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0" w:after="0"/>
              <w:ind w:left="4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CMS NHE</w:t>
            </w:r>
          </w:p>
        </w:tc>
        <w:tc>
          <w:tcPr>
            <w:tcW w:type="dxa" w:w="366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5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IHS funded at ~30¢/dollar; </w:t>
            </w:r>
          </w:p>
        </w:tc>
      </w:tr>
      <w:tr>
        <w:trPr>
          <w:trHeight w:hRule="atLeast" w:val="268"/>
        </w:trPr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366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8" w:after="0"/>
              <w:ind w:left="5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basis for ~$37.8B estimate in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" w:type="dxa"/>
      </w:tblPr>
      <w:tblGrid>
        <w:gridCol w:w="2394"/>
        <w:gridCol w:w="2394"/>
        <w:gridCol w:w="2394"/>
        <w:gridCol w:w="2394"/>
      </w:tblGrid>
      <w:tr>
        <w:trPr>
          <w:trHeight w:hRule="atLeast" w:val="332"/>
        </w:trPr>
        <w:tc>
          <w:tcPr>
            <w:tcW w:type="dxa" w:w="23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52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2023 NHE </w:t>
            </w:r>
          </w:p>
        </w:tc>
        <w:tc>
          <w:tcPr>
            <w:tcW w:type="dxa" w:w="14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68" w:after="0"/>
              <w:ind w:left="2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~$14,500</w:t>
            </w:r>
          </w:p>
        </w:tc>
        <w:tc>
          <w:tcPr>
            <w:tcW w:type="dxa" w:w="23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68" w:after="0"/>
              <w:ind w:left="3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CMS NHE (est.)</w:t>
            </w:r>
          </w:p>
        </w:tc>
        <w:tc>
          <w:tcPr>
            <w:tcW w:type="dxa" w:w="322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prior analyses</w:t>
            </w:r>
          </w:p>
        </w:tc>
      </w:tr>
      <w:tr>
        <w:trPr>
          <w:trHeight w:hRule="atLeast" w:val="320"/>
        </w:trPr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32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Most current; used in primary </w:t>
            </w:r>
          </w:p>
        </w:tc>
      </w:tr>
      <w:tr>
        <w:trPr>
          <w:trHeight w:hRule="atLeast" w:val="120"/>
        </w:trPr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322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full-need calculation in this </w:t>
            </w:r>
          </w:p>
        </w:tc>
      </w:tr>
      <w:tr>
        <w:trPr>
          <w:trHeight w:hRule="atLeast" w:val="140"/>
        </w:trPr>
        <w:tc>
          <w:tcPr>
            <w:tcW w:type="dxa" w:w="23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(estimated)</w:t>
            </w:r>
          </w:p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</w:tr>
      <w:tr>
        <w:trPr>
          <w:trHeight w:hRule="atLeast" w:val="336"/>
        </w:trPr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32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brief</w:t>
            </w:r>
          </w:p>
        </w:tc>
      </w:tr>
      <w:tr>
        <w:trPr>
          <w:trHeight w:hRule="atLeast" w:val="324"/>
        </w:trPr>
        <w:tc>
          <w:tcPr>
            <w:tcW w:type="dxa" w:w="230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9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IHS FY 2023 Actual </w:t>
            </w:r>
          </w:p>
        </w:tc>
        <w:tc>
          <w:tcPr>
            <w:tcW w:type="dxa" w:w="148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0" w:after="0"/>
              <w:ind w:left="2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$4,078</w:t>
            </w:r>
          </w:p>
        </w:tc>
        <w:tc>
          <w:tcPr>
            <w:tcW w:type="dxa" w:w="236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0" w:after="0"/>
              <w:ind w:left="3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IHS Profile FY2023</w:t>
            </w:r>
          </w:p>
        </w:tc>
        <w:tc>
          <w:tcPr>
            <w:tcW w:type="dxa" w:w="322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8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Reflects rationed system; </w:t>
            </w:r>
          </w:p>
        </w:tc>
      </w:tr>
      <w:tr>
        <w:trPr>
          <w:trHeight w:hRule="atLeast" w:val="120"/>
        </w:trPr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322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~28% of 2023 NHE </w:t>
            </w:r>
          </w:p>
        </w:tc>
      </w:tr>
      <w:tr>
        <w:trPr>
          <w:trHeight w:hRule="atLeast" w:val="140"/>
        </w:trPr>
        <w:tc>
          <w:tcPr>
            <w:tcW w:type="dxa" w:w="230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Per User</w:t>
            </w:r>
          </w:p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</w:tr>
      <w:tr>
        <w:trPr>
          <w:trHeight w:hRule="atLeast" w:val="336"/>
        </w:trPr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2394"/>
            <w:vMerge/>
            <w:tcBorders/>
          </w:tcPr>
          <w:p/>
        </w:tc>
        <w:tc>
          <w:tcPr>
            <w:tcW w:type="dxa" w:w="322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benchmark</w:t>
            </w:r>
          </w:p>
        </w:tc>
      </w:tr>
    </w:tbl>
    <w:p>
      <w:pPr>
        <w:autoSpaceDN w:val="0"/>
        <w:autoSpaceDE w:val="0"/>
        <w:widowControl/>
        <w:spacing w:line="276" w:lineRule="auto" w:before="514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NHE per-capita rate grew from $11,172 in 2018/2019 to an estimated ~$14,500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2023. Using the 2023 benchmark increases the full-need estimate by approximately $9 billion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relative to the NIHB’s prior calculation. Three cautions warrant acknowledgment: the NHE is not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age-adjusted; it does not account for the AI/AN population’s above-average chronic disease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burden; and it is a realized-spending figure, not a sufficient-care figure.</w:t>
      </w:r>
    </w:p>
    <w:p>
      <w:pPr>
        <w:autoSpaceDN w:val="0"/>
        <w:autoSpaceDE w:val="0"/>
        <w:widowControl/>
        <w:spacing w:line="233" w:lineRule="auto" w:before="420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4.  Current Federal Investment: The Offset Framework</w:t>
      </w:r>
    </w:p>
    <w:p>
      <w:pPr>
        <w:autoSpaceDN w:val="0"/>
        <w:autoSpaceDE w:val="0"/>
        <w:widowControl/>
        <w:spacing w:line="233" w:lineRule="auto" w:before="268" w:after="0"/>
        <w:ind w:left="8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Table 3 presents the current federal investment framework.</w:t>
      </w:r>
    </w:p>
    <w:p>
      <w:pPr>
        <w:autoSpaceDN w:val="0"/>
        <w:autoSpaceDE w:val="0"/>
        <w:widowControl/>
        <w:spacing w:line="233" w:lineRule="auto" w:before="446" w:after="10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Table 3.  Current Federal Investment in AI/AN Health Care (Estimated, FY 2023)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" w:type="dxa"/>
      </w:tblPr>
      <w:tblGrid>
        <w:gridCol w:w="1916"/>
        <w:gridCol w:w="1916"/>
        <w:gridCol w:w="1916"/>
        <w:gridCol w:w="1916"/>
        <w:gridCol w:w="1916"/>
      </w:tblGrid>
      <w:tr>
        <w:trPr>
          <w:trHeight w:hRule="atLeast" w:val="414"/>
        </w:trPr>
        <w:tc>
          <w:tcPr>
            <w:tcW w:type="dxa" w:w="316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Funding Stream</w:t>
            </w:r>
          </w:p>
        </w:tc>
        <w:tc>
          <w:tcPr>
            <w:tcW w:type="dxa" w:w="188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16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Population</w:t>
            </w:r>
          </w:p>
        </w:tc>
        <w:tc>
          <w:tcPr>
            <w:tcW w:type="dxa" w:w="208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Annual Amount</w:t>
            </w:r>
          </w:p>
        </w:tc>
        <w:tc>
          <w:tcPr>
            <w:tcW w:type="dxa" w:w="210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Source / Notes</w:t>
            </w:r>
          </w:p>
        </w:tc>
        <w:tc>
          <w:tcPr>
            <w:tcW w:type="dxa" w:w="140"/>
            <w:tcBorders/>
            <w:shd w:fill="e6f2f0"/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22"/>
        </w:trPr>
        <w:tc>
          <w:tcPr>
            <w:tcW w:type="dxa" w:w="31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IHS Appropriations (FY 2023)</w:t>
            </w:r>
          </w:p>
        </w:tc>
        <w:tc>
          <w:tcPr>
            <w:tcW w:type="dxa" w:w="18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16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~1.65M active</w:t>
            </w:r>
          </w:p>
        </w:tc>
        <w:tc>
          <w:tcPr>
            <w:tcW w:type="dxa" w:w="20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2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~$8.6B</w:t>
            </w:r>
          </w:p>
        </w:tc>
        <w:tc>
          <w:tcPr>
            <w:tcW w:type="dxa" w:w="210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IHS Congressional </w:t>
            </w:r>
          </w:p>
        </w:tc>
        <w:tc>
          <w:tcPr>
            <w:tcW w:type="dxa" w:w="1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119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5</w:t>
            </w:r>
          </w:p>
        </w:tc>
      </w:tr>
      <w:tr>
        <w:trPr>
          <w:trHeight w:hRule="atLeast" w:val="560"/>
        </w:trPr>
        <w:tc>
          <w:tcPr>
            <w:tcW w:type="dxa" w:w="1916"/>
            <w:vMerge/>
            <w:tcBorders/>
          </w:tcPr>
          <w:p/>
        </w:tc>
        <w:tc>
          <w:tcPr>
            <w:tcW w:type="dxa" w:w="1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6" w:after="0"/>
              <w:ind w:left="16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users</w:t>
            </w:r>
          </w:p>
        </w:tc>
        <w:tc>
          <w:tcPr>
            <w:tcW w:type="dxa" w:w="1916"/>
            <w:vMerge/>
            <w:tcBorders/>
          </w:tcPr>
          <w:p/>
        </w:tc>
        <w:tc>
          <w:tcPr>
            <w:tcW w:type="dxa" w:w="21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Budget Justification</w:t>
            </w:r>
          </w:p>
        </w:tc>
        <w:tc>
          <w:tcPr>
            <w:tcW w:type="dxa" w:w="1916"/>
            <w:vMerge/>
            <w:tcBorders/>
          </w:tcPr>
          <w:p/>
        </w:tc>
      </w:tr>
      <w:tr>
        <w:trPr>
          <w:trHeight w:hRule="atLeast" w:val="560"/>
        </w:trPr>
        <w:tc>
          <w:tcPr>
            <w:tcW w:type="dxa" w:w="1916"/>
            <w:vMerge/>
            <w:tcBorders/>
          </w:tcPr>
          <w:p/>
        </w:tc>
        <w:tc>
          <w:tcPr>
            <w:tcW w:type="dxa" w:w="1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312" w:after="0"/>
              <w:ind w:left="0" w:right="272" w:firstLine="0"/>
              <w:jc w:val="righ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Page </w:t>
            </w:r>
          </w:p>
        </w:tc>
        <w:tc>
          <w:tcPr>
            <w:tcW w:type="dxa" w:w="1916"/>
            <w:vMerge/>
            <w:tcBorders/>
          </w:tcPr>
          <w:p/>
        </w:tc>
        <w:tc>
          <w:tcPr>
            <w:tcW w:type="dxa" w:w="1916"/>
            <w:vMerge/>
            <w:tcBorders/>
          </w:tcPr>
          <w:p/>
        </w:tc>
        <w:tc>
          <w:tcPr>
            <w:tcW w:type="dxa" w:w="1916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724" w:right="1364" w:bottom="360" w:left="129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350"/>
        <w:gridCol w:w="2350"/>
        <w:gridCol w:w="2350"/>
        <w:gridCol w:w="2350"/>
      </w:tblGrid>
      <w:tr>
        <w:trPr>
          <w:trHeight w:hRule="atLeast" w:val="320"/>
        </w:trPr>
        <w:tc>
          <w:tcPr>
            <w:tcW w:type="dxa" w:w="30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Medicaid — IHS-Access </w:t>
            </w:r>
          </w:p>
        </w:tc>
        <w:tc>
          <w:tcPr>
            <w:tcW w:type="dxa" w:w="218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941,168 enrollees</w:t>
            </w:r>
          </w:p>
        </w:tc>
        <w:tc>
          <w:tcPr>
            <w:tcW w:type="dxa" w:w="186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$6.4–6.6B</w:t>
            </w:r>
          </w:p>
        </w:tc>
        <w:tc>
          <w:tcPr>
            <w:tcW w:type="dxa" w:w="232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4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2023 CMS–IHS </w:t>
            </w:r>
          </w:p>
        </w:tc>
      </w:tr>
      <w:tr>
        <w:trPr>
          <w:trHeight w:hRule="atLeast" w:val="344"/>
        </w:trPr>
        <w:tc>
          <w:tcPr>
            <w:tcW w:type="dxa" w:w="30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0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Population (Pop. A)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2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0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Data Match</w:t>
            </w:r>
          </w:p>
        </w:tc>
      </w:tr>
      <w:tr>
        <w:trPr>
          <w:trHeight w:hRule="atLeast" w:val="336"/>
        </w:trPr>
        <w:tc>
          <w:tcPr>
            <w:tcW w:type="dxa" w:w="30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0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Medicaid — Non-IHS-</w:t>
            </w:r>
          </w:p>
        </w:tc>
        <w:tc>
          <w:tcPr>
            <w:tcW w:type="dxa" w:w="21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2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~est. subset</w:t>
            </w:r>
          </w:p>
        </w:tc>
        <w:tc>
          <w:tcPr>
            <w:tcW w:type="dxa" w:w="186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2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~$1.88B</w:t>
            </w:r>
          </w:p>
        </w:tc>
        <w:tc>
          <w:tcPr>
            <w:tcW w:type="dxa" w:w="23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15-state </w:t>
            </w:r>
          </w:p>
        </w:tc>
      </w:tr>
      <w:tr>
        <w:trPr>
          <w:trHeight w:hRule="atLeast" w:val="12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2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reconciliation; Fox </w:t>
            </w:r>
          </w:p>
        </w:tc>
      </w:tr>
      <w:tr>
        <w:trPr>
          <w:trHeight w:hRule="atLeast" w:val="120"/>
        </w:trPr>
        <w:tc>
          <w:tcPr>
            <w:tcW w:type="dxa" w:w="30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Registered AI/AN (Pop. B)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346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8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(2023)</w:t>
            </w:r>
          </w:p>
        </w:tc>
      </w:tr>
      <w:tr>
        <w:trPr>
          <w:trHeight w:hRule="atLeast" w:val="334"/>
        </w:trPr>
        <w:tc>
          <w:tcPr>
            <w:tcW w:type="dxa" w:w="30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Medicare — IHS-Access </w:t>
            </w:r>
          </w:p>
        </w:tc>
        <w:tc>
          <w:tcPr>
            <w:tcW w:type="dxa" w:w="21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~260,131 (ACS-</w:t>
            </w:r>
          </w:p>
        </w:tc>
        <w:tc>
          <w:tcPr>
            <w:tcW w:type="dxa" w:w="186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~$2.64B</w:t>
            </w:r>
          </w:p>
        </w:tc>
        <w:tc>
          <w:tcPr>
            <w:tcW w:type="dxa" w:w="232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ACS PUMS × NHE </w:t>
            </w:r>
          </w:p>
        </w:tc>
      </w:tr>
      <w:tr>
        <w:trPr>
          <w:trHeight w:hRule="atLeast" w:val="332"/>
        </w:trPr>
        <w:tc>
          <w:tcPr>
            <w:tcW w:type="dxa" w:w="30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Population</w:t>
            </w:r>
          </w:p>
        </w:tc>
        <w:tc>
          <w:tcPr>
            <w:tcW w:type="dxa" w:w="21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estimated)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2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Medicare PMPY</w:t>
            </w:r>
          </w:p>
        </w:tc>
      </w:tr>
      <w:tr>
        <w:trPr>
          <w:trHeight w:hRule="atLeast" w:val="328"/>
        </w:trPr>
        <w:tc>
          <w:tcPr>
            <w:tcW w:type="dxa" w:w="30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0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Other Federal (SAMHSA, </w:t>
            </w:r>
          </w:p>
        </w:tc>
        <w:tc>
          <w:tcPr>
            <w:tcW w:type="dxa" w:w="21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38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Various</w:t>
            </w:r>
          </w:p>
        </w:tc>
        <w:tc>
          <w:tcPr>
            <w:tcW w:type="dxa" w:w="186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38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&lt; $0.2B</w:t>
            </w:r>
          </w:p>
        </w:tc>
        <w:tc>
          <w:tcPr>
            <w:tcW w:type="dxa" w:w="23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2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NIHB Budget </w:t>
            </w:r>
          </w:p>
        </w:tc>
      </w:tr>
      <w:tr>
        <w:trPr>
          <w:trHeight w:hRule="atLeast" w:val="12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2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Formulation </w:t>
            </w:r>
          </w:p>
        </w:tc>
      </w:tr>
      <w:tr>
        <w:trPr>
          <w:trHeight w:hRule="atLeast" w:val="140"/>
        </w:trPr>
        <w:tc>
          <w:tcPr>
            <w:tcW w:type="dxa" w:w="30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CDC, NIH, VA)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33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estimate</w:t>
            </w:r>
          </w:p>
        </w:tc>
      </w:tr>
      <w:tr>
        <w:trPr>
          <w:trHeight w:hRule="atLeast" w:val="330"/>
        </w:trPr>
        <w:tc>
          <w:tcPr>
            <w:tcW w:type="dxa" w:w="3000"/>
            <w:vMerge w:val="restart"/>
            <w:tcBorders/>
            <w:shd w:fill="d4ebe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0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TOTAL ESTIMATED </w:t>
            </w:r>
          </w:p>
        </w:tc>
        <w:tc>
          <w:tcPr>
            <w:tcW w:type="dxa" w:w="2180"/>
            <w:vMerge w:val="restart"/>
            <w:tcBorders/>
            <w:shd w:fill="d4ebe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40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—</w:t>
            </w:r>
          </w:p>
        </w:tc>
        <w:tc>
          <w:tcPr>
            <w:tcW w:type="dxa" w:w="1860"/>
            <w:tcBorders/>
            <w:shd w:fill="d4ebe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4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~$19.3–19.9B </w:t>
            </w:r>
          </w:p>
        </w:tc>
        <w:tc>
          <w:tcPr>
            <w:tcW w:type="dxa" w:w="2320"/>
            <w:tcBorders/>
            <w:shd w:fill="d4ebe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4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~54% of full-need </w:t>
            </w:r>
          </w:p>
        </w:tc>
      </w:tr>
      <w:tr>
        <w:trPr>
          <w:trHeight w:hRule="atLeast" w:val="120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1860"/>
            <w:vMerge w:val="restart"/>
            <w:tcBorders/>
            <w:shd w:fill="d4ebe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0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(midpoint </w:t>
            </w:r>
          </w:p>
        </w:tc>
        <w:tc>
          <w:tcPr>
            <w:tcW w:type="dxa" w:w="2320"/>
            <w:vMerge w:val="restart"/>
            <w:tcBorders/>
            <w:shd w:fill="d4ebe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estimate at 2023 </w:t>
            </w:r>
          </w:p>
        </w:tc>
      </w:tr>
      <w:tr>
        <w:trPr>
          <w:trHeight w:hRule="atLeast" w:val="120"/>
        </w:trPr>
        <w:tc>
          <w:tcPr>
            <w:tcW w:type="dxa" w:w="3000"/>
            <w:vMerge w:val="restart"/>
            <w:tcBorders/>
            <w:shd w:fill="d4ebe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FEDERAL INVESTMENT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348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1860"/>
            <w:tcBorders/>
            <w:shd w:fill="d4ebe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$19.6B)</w:t>
            </w:r>
          </w:p>
        </w:tc>
        <w:tc>
          <w:tcPr>
            <w:tcW w:type="dxa" w:w="2320"/>
            <w:tcBorders/>
            <w:shd w:fill="d4ebe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NHE benchmark</w:t>
            </w:r>
          </w:p>
        </w:tc>
      </w:tr>
    </w:tbl>
    <w:p>
      <w:pPr>
        <w:autoSpaceDN w:val="0"/>
        <w:autoSpaceDE w:val="0"/>
        <w:widowControl/>
        <w:spacing w:line="274" w:lineRule="auto" w:before="516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Because IHS facilities bill Medicaid at 100% FMAP, every dollar of Medicaid revenue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flowing to an IHS or tribal facility is a fully federal dollar—there is no state match. The combined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federal investment midpoint of approximately $19.6 billion covers roughly 52% of the $37.7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billion full-need estimate.</w:t>
      </w:r>
    </w:p>
    <w:p>
      <w:pPr>
        <w:autoSpaceDN w:val="0"/>
        <w:autoSpaceDE w:val="0"/>
        <w:widowControl/>
        <w:spacing w:line="233" w:lineRule="auto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5.  The Full-Funding Gap: Primary Estimate</w:t>
      </w:r>
    </w:p>
    <w:p>
      <w:pPr>
        <w:autoSpaceDN w:val="0"/>
        <w:autoSpaceDE w:val="0"/>
        <w:widowControl/>
        <w:spacing w:line="269" w:lineRule="auto" w:before="268" w:after="0"/>
        <w:ind w:left="12" w:right="288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Table 4 presents the primary full-funding gap calculation using the 2.6 million service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population, the 2023 NHE benchmark of ~$14,500 per capita, and the current federal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investment framework from Table 3.</w:t>
      </w:r>
    </w:p>
    <w:p>
      <w:pPr>
        <w:autoSpaceDN w:val="0"/>
        <w:autoSpaceDE w:val="0"/>
        <w:widowControl/>
        <w:spacing w:line="233" w:lineRule="auto" w:before="446" w:after="102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Table 4.  Full-Funding Gap Calculation (Primary Estimate, 2023 Base Year)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350"/>
        <w:gridCol w:w="2350"/>
        <w:gridCol w:w="2350"/>
        <w:gridCol w:w="2350"/>
      </w:tblGrid>
      <w:tr>
        <w:trPr>
          <w:trHeight w:hRule="atLeast" w:val="410"/>
        </w:trPr>
        <w:tc>
          <w:tcPr>
            <w:tcW w:type="dxa" w:w="408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Component</w:t>
            </w:r>
          </w:p>
        </w:tc>
        <w:tc>
          <w:tcPr>
            <w:tcW w:type="dxa" w:w="260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Calculation</w:t>
            </w:r>
          </w:p>
        </w:tc>
        <w:tc>
          <w:tcPr>
            <w:tcW w:type="dxa" w:w="218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Amount</w:t>
            </w:r>
          </w:p>
        </w:tc>
        <w:tc>
          <w:tcPr>
            <w:tcW w:type="dxa" w:w="500"/>
            <w:tcBorders/>
            <w:shd w:fill="e6f2f0"/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28"/>
        </w:trPr>
        <w:tc>
          <w:tcPr>
            <w:tcW w:type="dxa" w:w="40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Full-spectrum annual need — 2.6M </w:t>
            </w:r>
          </w:p>
        </w:tc>
        <w:tc>
          <w:tcPr>
            <w:tcW w:type="dxa" w:w="26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2,600,000 × $14,500</w:t>
            </w:r>
          </w:p>
        </w:tc>
        <w:tc>
          <w:tcPr>
            <w:tcW w:type="dxa" w:w="21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~$37.7 billion</w:t>
            </w:r>
          </w:p>
        </w:tc>
        <w:tc>
          <w:tcPr>
            <w:tcW w:type="dxa" w:w="5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40"/>
        </w:trPr>
        <w:tc>
          <w:tcPr>
            <w:tcW w:type="dxa" w:w="40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service population × 2023 NHE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412"/>
        </w:trPr>
        <w:tc>
          <w:tcPr>
            <w:tcW w:type="dxa" w:w="40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Less: IHS appropriations</w:t>
            </w:r>
          </w:p>
        </w:tc>
        <w:tc>
          <w:tcPr>
            <w:tcW w:type="dxa" w:w="26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Current FY 2023</w:t>
            </w:r>
          </w:p>
        </w:tc>
        <w:tc>
          <w:tcPr>
            <w:tcW w:type="dxa" w:w="21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($8.6B)</w:t>
            </w:r>
          </w:p>
        </w:tc>
        <w:tc>
          <w:tcPr>
            <w:tcW w:type="dxa" w:w="500"/>
            <w:tcBorders/>
            <w:shd w:fill="f4faf9"/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28"/>
        </w:trPr>
        <w:tc>
          <w:tcPr>
            <w:tcW w:type="dxa" w:w="40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Less: Medicaid (Population A + B </w:t>
            </w:r>
          </w:p>
        </w:tc>
        <w:tc>
          <w:tcPr>
            <w:tcW w:type="dxa" w:w="260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Data Match + 15-state </w:t>
            </w:r>
          </w:p>
        </w:tc>
        <w:tc>
          <w:tcPr>
            <w:tcW w:type="dxa" w:w="21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($8.5B)</w:t>
            </w:r>
          </w:p>
        </w:tc>
        <w:tc>
          <w:tcPr>
            <w:tcW w:type="dxa" w:w="5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40"/>
        </w:trPr>
        <w:tc>
          <w:tcPr>
            <w:tcW w:type="dxa" w:w="40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combined)</w:t>
            </w:r>
          </w:p>
        </w:tc>
        <w:tc>
          <w:tcPr>
            <w:tcW w:type="dxa" w:w="260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est.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320"/>
        </w:trPr>
        <w:tc>
          <w:tcPr>
            <w:tcW w:type="dxa" w:w="40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Less: Medicare (IHS-access, ACS-</w:t>
            </w:r>
          </w:p>
        </w:tc>
        <w:tc>
          <w:tcPr>
            <w:tcW w:type="dxa" w:w="26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4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ACS PUMS × NHE </w:t>
            </w:r>
          </w:p>
        </w:tc>
        <w:tc>
          <w:tcPr>
            <w:tcW w:type="dxa" w:w="218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($2.6B)</w:t>
            </w:r>
          </w:p>
        </w:tc>
        <w:tc>
          <w:tcPr>
            <w:tcW w:type="dxa" w:w="50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44"/>
        </w:trPr>
        <w:tc>
          <w:tcPr>
            <w:tcW w:type="dxa" w:w="40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8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estimated)</w:t>
            </w:r>
          </w:p>
        </w:tc>
        <w:tc>
          <w:tcPr>
            <w:tcW w:type="dxa" w:w="260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8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PMPY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414"/>
        </w:trPr>
        <w:tc>
          <w:tcPr>
            <w:tcW w:type="dxa" w:w="40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Less: Other federal sources</w:t>
            </w:r>
          </w:p>
        </w:tc>
        <w:tc>
          <w:tcPr>
            <w:tcW w:type="dxa" w:w="260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NIHB estimate</w:t>
            </w:r>
          </w:p>
        </w:tc>
        <w:tc>
          <w:tcPr>
            <w:tcW w:type="dxa" w:w="21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($0.2B)</w:t>
            </w:r>
          </w:p>
        </w:tc>
        <w:tc>
          <w:tcPr>
            <w:tcW w:type="dxa" w:w="500"/>
            <w:tcBorders/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22"/>
        </w:trPr>
        <w:tc>
          <w:tcPr>
            <w:tcW w:type="dxa" w:w="4080"/>
            <w:vMerge w:val="restart"/>
            <w:tcBorders/>
            <w:shd w:fill="d4ebe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ANNUAL FUNDING GAP</w:t>
            </w:r>
          </w:p>
        </w:tc>
        <w:tc>
          <w:tcPr>
            <w:tcW w:type="dxa" w:w="2600"/>
            <w:vMerge w:val="restart"/>
            <w:tcBorders/>
            <w:shd w:fill="d4ebe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—</w:t>
            </w:r>
          </w:p>
        </w:tc>
        <w:tc>
          <w:tcPr>
            <w:tcW w:type="dxa" w:w="2180"/>
            <w:tcBorders/>
            <w:shd w:fill="d4ebe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~$17.8–18.0 </w:t>
            </w:r>
          </w:p>
        </w:tc>
        <w:tc>
          <w:tcPr>
            <w:tcW w:type="dxa" w:w="500"/>
            <w:vMerge w:val="restart"/>
            <w:tcBorders/>
            <w:shd w:fill="d4ebe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42"/>
        </w:trPr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  <w:tc>
          <w:tcPr>
            <w:tcW w:type="dxa" w:w="2180"/>
            <w:tcBorders/>
            <w:shd w:fill="d4ebe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8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billion/year</w:t>
            </w:r>
          </w:p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338"/>
        </w:trPr>
        <w:tc>
          <w:tcPr>
            <w:tcW w:type="dxa" w:w="40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Infrastructure investment (phased, 10–</w:t>
            </w:r>
          </w:p>
        </w:tc>
        <w:tc>
          <w:tcPr>
            <w:tcW w:type="dxa" w:w="260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2021 Facilities Needs </w:t>
            </w:r>
          </w:p>
        </w:tc>
        <w:tc>
          <w:tcPr>
            <w:tcW w:type="dxa" w:w="21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~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$30–$34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 billion</w:t>
            </w:r>
          </w:p>
        </w:tc>
        <w:tc>
          <w:tcPr>
            <w:tcW w:type="dxa" w:w="5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1130" w:after="0"/>
              <w:ind w:left="0" w:right="0" w:firstLine="0"/>
              <w:jc w:val="righ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6</w:t>
            </w:r>
          </w:p>
        </w:tc>
      </w:tr>
      <w:tr>
        <w:trPr>
          <w:trHeight w:hRule="atLeast" w:val="520"/>
        </w:trPr>
        <w:tc>
          <w:tcPr>
            <w:tcW w:type="dxa" w:w="40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15 year period)</w:t>
            </w:r>
          </w:p>
        </w:tc>
        <w:tc>
          <w:tcPr>
            <w:tcW w:type="dxa" w:w="2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Assessment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</w:tr>
      <w:tr>
        <w:trPr>
          <w:trHeight w:hRule="atLeast" w:val="520"/>
        </w:trPr>
        <w:tc>
          <w:tcPr>
            <w:tcW w:type="dxa" w:w="2350"/>
            <w:vMerge/>
            <w:tcBorders/>
          </w:tcPr>
          <w:p/>
        </w:tc>
        <w:tc>
          <w:tcPr>
            <w:tcW w:type="dxa" w:w="2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272" w:after="0"/>
              <w:ind w:left="206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Page </w:t>
            </w:r>
          </w:p>
        </w:tc>
        <w:tc>
          <w:tcPr>
            <w:tcW w:type="dxa" w:w="2350"/>
            <w:vMerge/>
            <w:tcBorders/>
          </w:tcPr>
          <w:p/>
        </w:tc>
        <w:tc>
          <w:tcPr>
            <w:tcW w:type="dxa" w:w="2350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720" w:right="1410" w:bottom="360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78"/>
        <w:ind w:left="0" w:right="0"/>
      </w:pPr>
    </w:p>
    <w:p>
      <w:pPr>
        <w:autoSpaceDN w:val="0"/>
        <w:autoSpaceDE w:val="0"/>
        <w:widowControl/>
        <w:spacing w:line="276" w:lineRule="auto" w:before="0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annual funding gap of approximately $17.8–$18.0 billion represents what Congress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would need to appropriate annually, above current levels, to achieve full-spectrum health care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for the IHS service population. The 2021 IHS Facilities Needs Assessment documents $26.6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billion in documented facility need; inflation-adjusted to 2026 and including UIO needs, the full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infrastructure requirement is approximately $30–$34 billion.</w:t>
      </w:r>
    </w:p>
    <w:p>
      <w:pPr>
        <w:autoSpaceDN w:val="0"/>
        <w:autoSpaceDE w:val="0"/>
        <w:widowControl/>
        <w:spacing w:line="269" w:lineRule="auto" w:before="136" w:after="0"/>
        <w:ind w:left="144" w:right="144" w:firstLine="720"/>
        <w:jc w:val="left"/>
      </w:pPr>
      <w:r>
        <w:rPr>
          <w:rFonts w:ascii="Liberation Sans" w:hAnsi="Liberation Sans" w:eastAsia="Liberation Sans"/>
          <w:b w:val="0"/>
          <w:i/>
          <w:color w:val="C69200"/>
          <w:sz w:val="22"/>
          <w:u w:val="single"/>
        </w:rPr>
        <w:t xml:space="preserve">This paper uses the Federal Budget View as its primary framework. Readers should be </w:t>
      </w:r>
      <w:r>
        <w:rPr>
          <w:rFonts w:ascii="Liberation Sans" w:hAnsi="Liberation Sans" w:eastAsia="Liberation Sans"/>
          <w:b w:val="0"/>
          <w:i/>
          <w:color w:val="C69200"/>
          <w:sz w:val="22"/>
          <w:u w:val="single"/>
        </w:rPr>
        <w:t xml:space="preserve">explicit about which framework they are invoking when citing gap estimates: the three </w:t>
      </w:r>
      <w:r>
        <w:rPr>
          <w:rFonts w:ascii="Liberation Sans" w:hAnsi="Liberation Sans" w:eastAsia="Liberation Sans"/>
          <w:b w:val="0"/>
          <w:i/>
          <w:color w:val="C69200"/>
          <w:sz w:val="22"/>
          <w:u w:val="single"/>
        </w:rPr>
        <w:t>frameworks are not inconsistent — they are complementary answers to different questions.</w:t>
      </w:r>
    </w:p>
    <w:p>
      <w:pPr>
        <w:autoSpaceDN w:val="0"/>
        <w:autoSpaceDE w:val="0"/>
        <w:widowControl/>
        <w:spacing w:line="274" w:lineRule="auto" w:before="138" w:after="0"/>
        <w:ind w:left="144" w:right="288" w:firstLine="720"/>
        <w:jc w:val="left"/>
      </w:pP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gap estimates above can be read through three distinct accounting frameworks,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each analytically valid but answering a different policy question. Conflating them is a common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source of confusion in the full-funding literature; explicitly separating them strengthens the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credibility of any estimate.</w:t>
      </w:r>
    </w:p>
    <w:p>
      <w:pPr>
        <w:autoSpaceDN w:val="0"/>
        <w:autoSpaceDE w:val="0"/>
        <w:widowControl/>
        <w:spacing w:line="233" w:lineRule="auto" w:before="298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>5A.  Three Accounting Frameworks</w:t>
      </w:r>
    </w:p>
    <w:p>
      <w:pPr>
        <w:autoSpaceDN w:val="0"/>
        <w:autoSpaceDE w:val="0"/>
        <w:widowControl/>
        <w:spacing w:line="276" w:lineRule="auto" w:before="106" w:after="0"/>
        <w:ind w:left="144" w:right="0" w:firstLine="72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>Federal Budget View.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  Counts all current federal spending — IHS appropriations plus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Medicaid and Medicare — as partial fulfillment of the obligation. Produces the ~$17.8–$18.0B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gap estimate in Table 4. This is the primary estimate in this paper. It answers the question: what</w:t>
      </w:r>
      <w:r>
        <w:rPr>
          <w:rFonts w:ascii="Liberation Sans" w:hAnsi="Liberation Sans" w:eastAsia="Liberation Sans"/>
          <w:b w:val="0"/>
          <w:i w:val="0"/>
          <w:color w:val="C69200"/>
          <w:sz w:val="22"/>
        </w:rPr>
        <w:t xml:space="preserve">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incremental appropriation would close the gap if existing Medicaid and Medicare investments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are held constant?</w:t>
      </w:r>
    </w:p>
    <w:p>
      <w:pPr>
        <w:autoSpaceDN w:val="0"/>
        <w:autoSpaceDE w:val="0"/>
        <w:widowControl/>
        <w:spacing w:line="278" w:lineRule="auto" w:before="138" w:after="0"/>
        <w:ind w:left="144" w:right="0" w:firstLine="72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>Trust Responsibility View.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  Treats Medicaid as a supplemental program — not a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fulfillment of the independent federal trust obligation — and excludes it from the offset </w:t>
      </w:r>
      <w:r>
        <w:br/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calculation. Produces a gap of approximately $26–$27B annually (see Section 6.3). This is the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framing most consistent with longstanding Tribal legal argument that the trust responsibility is an</w:t>
      </w:r>
      <w:r>
        <w:rPr>
          <w:rFonts w:ascii="Liberation Sans" w:hAnsi="Liberation Sans" w:eastAsia="Liberation Sans"/>
          <w:b w:val="0"/>
          <w:i w:val="0"/>
          <w:color w:val="C69200"/>
          <w:sz w:val="22"/>
        </w:rPr>
        <w:t xml:space="preserve">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unconditional federal commitment, not reducible by programs that require individual application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and income documentation.</w:t>
      </w:r>
    </w:p>
    <w:p>
      <w:pPr>
        <w:autoSpaceDN w:val="0"/>
        <w:autoSpaceDE w:val="0"/>
        <w:widowControl/>
        <w:spacing w:line="281" w:lineRule="auto" w:before="138" w:after="0"/>
        <w:ind w:left="144" w:right="0" w:firstLine="72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>Health System Resource View.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  Counts all health spending flowing to AI/AN people —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federal, state, Tribal own-source, and private — to assess system resource adequacy. This is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analytically most complete view and produces the smallest apparent gap, but it conflates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funding sources with different legal and governance character. It is most useful for health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system planning and capacity analysis. The Tribal own-source contribution (estimated at $1.2–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$3.0B annually; see Section 8.1) and the private insurance layer visible in the ACS PUMS data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both belong to this view.</w:t>
      </w:r>
    </w:p>
    <w:p>
      <w:pPr>
        <w:autoSpaceDN w:val="0"/>
        <w:autoSpaceDE w:val="0"/>
        <w:widowControl/>
        <w:spacing w:line="269" w:lineRule="auto" w:before="136" w:after="0"/>
        <w:ind w:left="144" w:right="144" w:firstLine="720"/>
        <w:jc w:val="left"/>
      </w:pPr>
      <w:r>
        <w:rPr>
          <w:rFonts w:ascii="Liberation Sans" w:hAnsi="Liberation Sans" w:eastAsia="Liberation Sans"/>
          <w:b w:val="0"/>
          <w:i/>
          <w:color w:val="C69200"/>
          <w:sz w:val="22"/>
          <w:u w:val="single"/>
        </w:rPr>
        <w:t xml:space="preserve">This paper uses the Federal Budget View as its primary framework. Readers should be </w:t>
      </w:r>
      <w:r>
        <w:rPr>
          <w:rFonts w:ascii="Liberation Sans" w:hAnsi="Liberation Sans" w:eastAsia="Liberation Sans"/>
          <w:b w:val="0"/>
          <w:i/>
          <w:color w:val="C69200"/>
          <w:sz w:val="22"/>
          <w:u w:val="single"/>
        </w:rPr>
        <w:t xml:space="preserve">explicit about which framework they are invoking when citing gap estimates: the three </w:t>
      </w:r>
      <w:r>
        <w:rPr>
          <w:rFonts w:ascii="Liberation Sans" w:hAnsi="Liberation Sans" w:eastAsia="Liberation Sans"/>
          <w:b w:val="0"/>
          <w:i/>
          <w:color w:val="C69200"/>
          <w:sz w:val="22"/>
          <w:u w:val="single"/>
        </w:rPr>
        <w:t>frameworks are not inconsistent — they are complementary answers to different questions.</w:t>
      </w:r>
    </w:p>
    <w:p>
      <w:pPr>
        <w:autoSpaceDN w:val="0"/>
        <w:autoSpaceDE w:val="0"/>
        <w:widowControl/>
        <w:spacing w:line="233" w:lineRule="auto" w:before="420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6.  Methodological Challenges</w:t>
      </w:r>
    </w:p>
    <w:p>
      <w:pPr>
        <w:autoSpaceDN w:val="0"/>
        <w:autoSpaceDE w:val="0"/>
        <w:widowControl/>
        <w:spacing w:line="233" w:lineRule="auto" w:before="348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6.1  The Utilization Artifact Problem</w:t>
      </w:r>
    </w:p>
    <w:p>
      <w:pPr>
        <w:autoSpaceDN w:val="0"/>
        <w:tabs>
          <w:tab w:pos="9392" w:val="left"/>
        </w:tabs>
        <w:autoSpaceDE w:val="0"/>
        <w:widowControl/>
        <w:spacing w:line="268" w:lineRule="exact" w:before="818" w:after="0"/>
        <w:ind w:left="442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tab/>
      </w:r>
      <w:r>
        <w:rPr>
          <w:rFonts w:ascii="Carlito" w:hAnsi="Carlito" w:eastAsia="Carlito"/>
          <w:b w:val="0"/>
          <w:i w:val="0"/>
          <w:color w:val="000000"/>
          <w:sz w:val="22"/>
        </w:rPr>
        <w:t>7</w:t>
      </w:r>
    </w:p>
    <w:p>
      <w:pPr>
        <w:sectPr>
          <w:pgSz w:w="12240" w:h="15840"/>
          <w:pgMar w:top="898" w:right="1364" w:bottom="360" w:left="129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4"/>
        <w:ind w:left="0" w:right="0"/>
      </w:pPr>
    </w:p>
    <w:p>
      <w:pPr>
        <w:autoSpaceDN w:val="0"/>
        <w:autoSpaceDE w:val="0"/>
        <w:widowControl/>
        <w:spacing w:line="276" w:lineRule="auto" w:before="0" w:after="0"/>
        <w:ind w:left="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IHS per-capita spending of $4,078 per active user reflects a system in which access 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rationed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by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funding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constraints.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The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active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user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count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of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1.65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million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is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not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the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number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people who would seek IHS services under full funding; it is the number who received services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under the current rationed system. Full-funding estimates that rely on current utilization data will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systematically understate true need.</w:t>
      </w:r>
    </w:p>
    <w:p>
      <w:pPr>
        <w:autoSpaceDN w:val="0"/>
        <w:autoSpaceDE w:val="0"/>
        <w:widowControl/>
        <w:spacing w:line="233" w:lineRule="auto" w:before="298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6.2  The Benchmark Selection Problem</w:t>
      </w:r>
    </w:p>
    <w:p>
      <w:pPr>
        <w:autoSpaceDN w:val="0"/>
        <w:autoSpaceDE w:val="0"/>
        <w:widowControl/>
        <w:spacing w:line="276" w:lineRule="auto" w:before="106" w:after="0"/>
        <w:ind w:left="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AI/AN population has substantially higher rates of diabetes, end-stage renal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disease, chronic liver disease, substance use disorders, and other conditions that generate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above-average health care costs. The appropriate benchmark may be 15–25% above the NHE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average. Conversely, the AI/AN population’s younger age structure (lower life expectancy)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partially offsets this, leaving the unadjusted NHE rate as a reasonable central estimate.</w:t>
      </w:r>
    </w:p>
    <w:p>
      <w:pPr>
        <w:autoSpaceDN w:val="0"/>
        <w:autoSpaceDE w:val="0"/>
        <w:widowControl/>
        <w:spacing w:line="233" w:lineRule="auto" w:before="298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6.3  The Insurance Offset Question</w:t>
      </w:r>
    </w:p>
    <w:p>
      <w:pPr>
        <w:autoSpaceDN w:val="0"/>
        <w:autoSpaceDE w:val="0"/>
        <w:widowControl/>
        <w:spacing w:line="283" w:lineRule="auto" w:before="106" w:after="0"/>
        <w:ind w:left="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enrollment requires individual application, income documentation, and ongoing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eligibility maintenance—administrative burdens structurally inconsistent with the trust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responsibility’s premise that health care is owed to AI/ANs as a matter of right. Tribal nations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have consistently argued that Medicaid should be treated as a supplement to the trust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responsibility, not a substitute for it. If this framing is adopted and Medicaid revenues 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excluded from the offset calculation, the effective federal funding gap increases by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$8.5 billion annually—the combined Medicaid component from Table 3—yielding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total gap on the order of $26–$27 billion relative to the NHE benchmark. This scenario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represents the normative upper bound of the funding gap and corresponds most closely to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legal theory of the federal trust obligation as an independent, unconditional commitment.</w:t>
      </w:r>
    </w:p>
    <w:p>
      <w:pPr>
        <w:autoSpaceDN w:val="0"/>
        <w:autoSpaceDE w:val="0"/>
        <w:widowControl/>
        <w:spacing w:line="233" w:lineRule="auto" w:before="296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6.4  Note on Measurement Completeness: Contract Support Cost Indirect Funding</w:t>
      </w:r>
    </w:p>
    <w:p>
      <w:pPr>
        <w:autoSpaceDN w:val="0"/>
        <w:autoSpaceDE w:val="0"/>
        <w:widowControl/>
        <w:spacing w:line="281" w:lineRule="auto" w:before="108" w:after="0"/>
        <w:ind w:left="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Federal appropriations for Contract Support Costs represent a fourth methodological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limitation. CSC funds the administrative overhead costs that Tribes incur when assuming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operation of IHS programs under P.L. 93-638. The downstream health care expenditure that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results when Tribal employer health insurance—funded through CSC indirect costs—pays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claims for covered employees is invisible to every data source used to construct Table 3. This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creates an asymmetric measurement problem: the federal dollars originating in CSC 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counted as federal investment on the input side, but the health care services those dollars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purchase through employer insurance are not counted as federal health expenditure on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output side.</w:t>
      </w:r>
    </w:p>
    <w:p>
      <w:pPr>
        <w:autoSpaceDN w:val="0"/>
        <w:autoSpaceDE w:val="0"/>
        <w:widowControl/>
        <w:spacing w:line="278" w:lineRule="auto" w:before="136" w:after="0"/>
        <w:ind w:left="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rough structural calculation suggests a range of perhaps $85–$100 million in employer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insurance premiums funded through CSC indirect costs annually, but this figure carries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enough methodological uncertainty to render it more illustrative than analytical. The directional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implication is clear: Table 3 most likely understates total federal health investment for IHS-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eligible individuals, and the annual funding gap estimated in this paper is therefore likely slightly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overstated. Readers should not treat this as a material adjustment to the primary gap estimate; </w:t>
      </w:r>
    </w:p>
    <w:p>
      <w:pPr>
        <w:autoSpaceDN w:val="0"/>
        <w:tabs>
          <w:tab w:pos="9250" w:val="left"/>
        </w:tabs>
        <w:autoSpaceDE w:val="0"/>
        <w:widowControl/>
        <w:spacing w:line="268" w:lineRule="exact" w:before="998" w:after="0"/>
        <w:ind w:left="4286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tab/>
      </w:r>
      <w:r>
        <w:rPr>
          <w:rFonts w:ascii="Carlito" w:hAnsi="Carlito" w:eastAsia="Carlito"/>
          <w:b w:val="0"/>
          <w:i w:val="0"/>
          <w:color w:val="000000"/>
          <w:sz w:val="22"/>
        </w:rPr>
        <w:t>8</w:t>
      </w:r>
    </w:p>
    <w:p>
      <w:pPr>
        <w:sectPr>
          <w:pgSz w:w="12240" w:h="15840"/>
          <w:pgMar w:top="722" w:right="1388" w:bottom="360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62" w:lineRule="auto" w:before="0" w:after="0"/>
        <w:ind w:left="144" w:right="43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CSC indirect health care channel is structurally real but too uncertain to quantify reliably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from available data.</w:t>
      </w:r>
    </w:p>
    <w:p>
      <w:pPr>
        <w:autoSpaceDN w:val="0"/>
        <w:autoSpaceDE w:val="0"/>
        <w:widowControl/>
        <w:spacing w:line="233" w:lineRule="auto" w:before="418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7.  Sensitivity Analysis</w:t>
      </w:r>
    </w:p>
    <w:p>
      <w:pPr>
        <w:autoSpaceDN w:val="0"/>
        <w:autoSpaceDE w:val="0"/>
        <w:widowControl/>
        <w:spacing w:line="269" w:lineRule="auto" w:before="268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Table 5 presents five scenarios spanning the range of defensible analytical choices.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 No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reasonable combination of population, benchmark, or offset assumptions eliminates the funding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gap; the result is structurally robust.</w:t>
      </w:r>
    </w:p>
    <w:p>
      <w:pPr>
        <w:autoSpaceDN w:val="0"/>
        <w:autoSpaceDE w:val="0"/>
        <w:widowControl/>
        <w:spacing w:line="233" w:lineRule="auto" w:before="446" w:after="102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Table 5.  Sensitivity Analysis: Full-Need and Gap Estimates Across Key Assumptions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" w:type="dxa"/>
      </w:tblPr>
      <w:tblGrid>
        <w:gridCol w:w="1914"/>
        <w:gridCol w:w="1914"/>
        <w:gridCol w:w="1914"/>
        <w:gridCol w:w="1914"/>
        <w:gridCol w:w="1914"/>
      </w:tblGrid>
      <w:tr>
        <w:trPr>
          <w:trHeight w:hRule="atLeast" w:val="322"/>
        </w:trPr>
        <w:tc>
          <w:tcPr>
            <w:tcW w:type="dxa" w:w="2280"/>
            <w:vMerge w:val="restart"/>
            <w:tcBorders/>
            <w:shd w:fill="e6f2f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Scenario</w:t>
            </w:r>
          </w:p>
        </w:tc>
        <w:tc>
          <w:tcPr>
            <w:tcW w:type="dxa" w:w="1780"/>
            <w:vMerge w:val="restart"/>
            <w:tcBorders/>
            <w:shd w:fill="e6f2f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Population</w:t>
            </w:r>
          </w:p>
        </w:tc>
        <w:tc>
          <w:tcPr>
            <w:tcW w:type="dxa" w:w="2240"/>
            <w:vMerge w:val="restart"/>
            <w:tcBorders/>
            <w:shd w:fill="e6f2f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NHE Benchmark</w:t>
            </w:r>
          </w:p>
        </w:tc>
        <w:tc>
          <w:tcPr>
            <w:tcW w:type="dxa" w:w="1460"/>
            <w:vMerge w:val="restart"/>
            <w:tcBorders/>
            <w:shd w:fill="e6f2f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Full Need</w:t>
            </w:r>
          </w:p>
        </w:tc>
        <w:tc>
          <w:tcPr>
            <w:tcW w:type="dxa" w:w="160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32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Gap (after </w:t>
            </w:r>
          </w:p>
        </w:tc>
      </w:tr>
      <w:tr>
        <w:trPr>
          <w:trHeight w:hRule="atLeast" w:val="342"/>
        </w:trPr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  <w:tc>
          <w:tcPr>
            <w:tcW w:type="dxa" w:w="1600"/>
            <w:tcBorders/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6" w:after="0"/>
              <w:ind w:left="32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offsets)</w:t>
            </w:r>
          </w:p>
        </w:tc>
      </w:tr>
      <w:tr>
        <w:trPr>
          <w:trHeight w:hRule="atLeast" w:val="318"/>
        </w:trPr>
        <w:tc>
          <w:tcPr>
            <w:tcW w:type="dxa" w:w="22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NIHB (2021 brief)</w:t>
            </w:r>
          </w:p>
        </w:tc>
        <w:tc>
          <w:tcPr>
            <w:tcW w:type="dxa" w:w="17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2.6M service </w:t>
            </w:r>
          </w:p>
        </w:tc>
        <w:tc>
          <w:tcPr>
            <w:tcW w:type="dxa" w:w="224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2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$11,172 (2018/19)</w:t>
            </w:r>
          </w:p>
        </w:tc>
        <w:tc>
          <w:tcPr>
            <w:tcW w:type="dxa" w:w="146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$29.1B</w:t>
            </w:r>
          </w:p>
        </w:tc>
        <w:tc>
          <w:tcPr>
            <w:tcW w:type="dxa" w:w="16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4" w:after="0"/>
              <w:ind w:left="3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~$9.5B</w:t>
            </w:r>
          </w:p>
        </w:tc>
      </w:tr>
      <w:tr>
        <w:trPr>
          <w:trHeight w:hRule="atLeast" w:val="350"/>
        </w:trPr>
        <w:tc>
          <w:tcPr>
            <w:tcW w:type="dxa" w:w="1914"/>
            <w:vMerge/>
            <w:tcBorders/>
          </w:tcPr>
          <w:p/>
        </w:tc>
        <w:tc>
          <w:tcPr>
            <w:tcW w:type="dxa" w:w="17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pop.</w:t>
            </w:r>
          </w:p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</w:tr>
      <w:tr>
        <w:trPr>
          <w:trHeight w:hRule="atLeast" w:val="330"/>
        </w:trPr>
        <w:tc>
          <w:tcPr>
            <w:tcW w:type="dxa" w:w="228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2022 NHE baseline</w:t>
            </w:r>
          </w:p>
        </w:tc>
        <w:tc>
          <w:tcPr>
            <w:tcW w:type="dxa" w:w="17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2.6M service </w:t>
            </w:r>
          </w:p>
        </w:tc>
        <w:tc>
          <w:tcPr>
            <w:tcW w:type="dxa" w:w="224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2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$13,493 (2022)</w:t>
            </w:r>
          </w:p>
        </w:tc>
        <w:tc>
          <w:tcPr>
            <w:tcW w:type="dxa" w:w="146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$35.1B</w:t>
            </w:r>
          </w:p>
        </w:tc>
        <w:tc>
          <w:tcPr>
            <w:tcW w:type="dxa" w:w="160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3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~$15.4B</w:t>
            </w:r>
          </w:p>
        </w:tc>
      </w:tr>
      <w:tr>
        <w:trPr>
          <w:trHeight w:hRule="atLeast" w:val="336"/>
        </w:trPr>
        <w:tc>
          <w:tcPr>
            <w:tcW w:type="dxa" w:w="1914"/>
            <w:vMerge/>
            <w:tcBorders/>
          </w:tcPr>
          <w:p/>
        </w:tc>
        <w:tc>
          <w:tcPr>
            <w:tcW w:type="dxa" w:w="17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pop.</w:t>
            </w:r>
          </w:p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</w:tr>
      <w:tr>
        <w:trPr>
          <w:trHeight w:hRule="atLeast" w:val="324"/>
        </w:trPr>
        <w:tc>
          <w:tcPr>
            <w:tcW w:type="dxa" w:w="228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2023 NHE (primary)</w:t>
            </w:r>
          </w:p>
        </w:tc>
        <w:tc>
          <w:tcPr>
            <w:tcW w:type="dxa" w:w="17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2.6M service </w:t>
            </w:r>
          </w:p>
        </w:tc>
        <w:tc>
          <w:tcPr>
            <w:tcW w:type="dxa" w:w="22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8" w:after="0"/>
              <w:ind w:left="2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~$14,500 (2023 </w:t>
            </w:r>
          </w:p>
        </w:tc>
        <w:tc>
          <w:tcPr>
            <w:tcW w:type="dxa" w:w="146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~$37.7B</w:t>
            </w:r>
          </w:p>
        </w:tc>
        <w:tc>
          <w:tcPr>
            <w:tcW w:type="dxa" w:w="16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3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~$17.8B</w:t>
            </w:r>
          </w:p>
        </w:tc>
      </w:tr>
      <w:tr>
        <w:trPr>
          <w:trHeight w:hRule="atLeast" w:val="342"/>
        </w:trPr>
        <w:tc>
          <w:tcPr>
            <w:tcW w:type="dxa" w:w="1914"/>
            <w:vMerge/>
            <w:tcBorders/>
          </w:tcPr>
          <w:p/>
        </w:tc>
        <w:tc>
          <w:tcPr>
            <w:tcW w:type="dxa" w:w="17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pop.</w:t>
            </w:r>
          </w:p>
        </w:tc>
        <w:tc>
          <w:tcPr>
            <w:tcW w:type="dxa" w:w="22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2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est.)</w:t>
            </w:r>
          </w:p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</w:tr>
      <w:tr>
        <w:trPr>
          <w:trHeight w:hRule="atLeast" w:val="318"/>
        </w:trPr>
        <w:tc>
          <w:tcPr>
            <w:tcW w:type="dxa" w:w="22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2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Active user </w:t>
            </w:r>
          </w:p>
        </w:tc>
        <w:tc>
          <w:tcPr>
            <w:tcW w:type="dxa" w:w="17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1.65M active</w:t>
            </w:r>
          </w:p>
        </w:tc>
        <w:tc>
          <w:tcPr>
            <w:tcW w:type="dxa" w:w="224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2" w:after="0"/>
              <w:ind w:left="2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~$14,500 (2023 </w:t>
            </w:r>
          </w:p>
        </w:tc>
        <w:tc>
          <w:tcPr>
            <w:tcW w:type="dxa" w:w="146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~$23.9B</w:t>
            </w:r>
          </w:p>
        </w:tc>
        <w:tc>
          <w:tcPr>
            <w:tcW w:type="dxa" w:w="1600"/>
            <w:vMerge w:val="restart"/>
            <w:tcBorders/>
            <w:shd w:fill="f4faf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3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~$4.3B</w:t>
            </w:r>
          </w:p>
        </w:tc>
      </w:tr>
      <w:tr>
        <w:trPr>
          <w:trHeight w:hRule="atLeast" w:val="348"/>
        </w:trPr>
        <w:tc>
          <w:tcPr>
            <w:tcW w:type="dxa" w:w="22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0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denominator</w:t>
            </w:r>
          </w:p>
        </w:tc>
        <w:tc>
          <w:tcPr>
            <w:tcW w:type="dxa" w:w="178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0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users</w:t>
            </w:r>
          </w:p>
        </w:tc>
        <w:tc>
          <w:tcPr>
            <w:tcW w:type="dxa" w:w="2240"/>
            <w:tcBorders/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0" w:after="0"/>
              <w:ind w:left="2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est.)</w:t>
            </w:r>
          </w:p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</w:tr>
      <w:tr>
        <w:trPr>
          <w:trHeight w:hRule="atLeast" w:val="332"/>
        </w:trPr>
        <w:tc>
          <w:tcPr>
            <w:tcW w:type="dxa" w:w="22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Elevated need </w:t>
            </w:r>
          </w:p>
        </w:tc>
        <w:tc>
          <w:tcPr>
            <w:tcW w:type="dxa" w:w="17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2.6M service </w:t>
            </w:r>
          </w:p>
        </w:tc>
        <w:tc>
          <w:tcPr>
            <w:tcW w:type="dxa" w:w="22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$17,400 (NHE </w:t>
            </w:r>
          </w:p>
        </w:tc>
        <w:tc>
          <w:tcPr>
            <w:tcW w:type="dxa" w:w="146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~$45.2B</w:t>
            </w:r>
          </w:p>
        </w:tc>
        <w:tc>
          <w:tcPr>
            <w:tcW w:type="dxa" w:w="160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12" w:after="0"/>
              <w:ind w:left="3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~$25.6B</w:t>
            </w:r>
          </w:p>
        </w:tc>
      </w:tr>
      <w:tr>
        <w:trPr>
          <w:trHeight w:hRule="atLeast" w:val="312"/>
        </w:trPr>
        <w:tc>
          <w:tcPr>
            <w:tcW w:type="dxa" w:w="22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" w:after="0"/>
              <w:ind w:left="1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adjustment (+20%)</w:t>
            </w:r>
          </w:p>
        </w:tc>
        <w:tc>
          <w:tcPr>
            <w:tcW w:type="dxa" w:w="178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" w:after="0"/>
              <w:ind w:left="2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pop.</w:t>
            </w:r>
          </w:p>
        </w:tc>
        <w:tc>
          <w:tcPr>
            <w:tcW w:type="dxa" w:w="22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" w:after="0"/>
              <w:ind w:left="2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+20%)</w:t>
            </w:r>
          </w:p>
        </w:tc>
        <w:tc>
          <w:tcPr>
            <w:tcW w:type="dxa" w:w="1914"/>
            <w:vMerge/>
            <w:tcBorders/>
          </w:tcPr>
          <w:p/>
        </w:tc>
        <w:tc>
          <w:tcPr>
            <w:tcW w:type="dxa" w:w="1914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5" w:lineRule="auto" w:before="376" w:after="0"/>
        <w:ind w:left="504" w:right="194" w:firstLine="0"/>
        <w:jc w:val="both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Note: </w:t>
      </w:r>
      <w:r>
        <w:rPr>
          <w:rFonts w:ascii="Liberation Sans" w:hAnsi="Liberation Sans" w:eastAsia="Liberation Sans"/>
          <w:b w:val="0"/>
          <w:i/>
          <w:color w:val="1A1A1A"/>
          <w:sz w:val="22"/>
        </w:rPr>
        <w:t xml:space="preserve">Gap figures are net of current federal investment (~$19.6B midpoint). Elevated need </w:t>
      </w:r>
      <w:r>
        <w:rPr>
          <w:rFonts w:ascii="Liberation Sans" w:hAnsi="Liberation Sans" w:eastAsia="Liberation Sans"/>
          <w:b w:val="0"/>
          <w:i/>
          <w:color w:val="1A1A1A"/>
          <w:sz w:val="22"/>
        </w:rPr>
        <w:t xml:space="preserve">scenario applies a 20% premium above NHE to reflect documented AI/AN disease burden. </w:t>
      </w:r>
      <w:r>
        <w:rPr>
          <w:rFonts w:ascii="Liberation Sans" w:hAnsi="Liberation Sans" w:eastAsia="Liberation Sans"/>
          <w:b w:val="0"/>
          <w:i/>
          <w:color w:val="1A1A1A"/>
          <w:sz w:val="22"/>
        </w:rPr>
        <w:t>Offsets held constant across scenarios.</w:t>
      </w:r>
    </w:p>
    <w:p>
      <w:pPr>
        <w:autoSpaceDN w:val="0"/>
        <w:autoSpaceDE w:val="0"/>
        <w:widowControl/>
        <w:spacing w:line="233" w:lineRule="auto" w:before="370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6"/>
          <w:u w:val="single"/>
        </w:rPr>
        <w:t>7A.  Why This Estimate Is Credible</w:t>
      </w:r>
    </w:p>
    <w:p>
      <w:pPr>
        <w:autoSpaceDN w:val="0"/>
        <w:autoSpaceDE w:val="0"/>
        <w:widowControl/>
        <w:spacing w:line="269" w:lineRule="auto" w:before="268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A technically rigorous reviewer will ask whether the gap estimate is an analytical artifact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— a product of contestable assumptions rather than a reflection of structural reality. The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following features of this analysis address that challenge directly.</w:t>
      </w:r>
    </w:p>
    <w:p>
      <w:pPr>
        <w:autoSpaceDN w:val="0"/>
        <w:autoSpaceDE w:val="0"/>
        <w:widowControl/>
        <w:spacing w:line="274" w:lineRule="auto" w:before="136" w:after="0"/>
        <w:ind w:left="864" w:right="576" w:hanging="36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 xml:space="preserve">Anchored in observed spending.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primary estimate begins with actual federal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expenditure data (~$19.6B), not a constructed need figure. The gap emerges from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comparing observed spending to a national benchmark — it is not assumed in the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model’s inputs.</w:t>
      </w:r>
    </w:p>
    <w:p>
      <w:pPr>
        <w:autoSpaceDN w:val="0"/>
        <w:autoSpaceDE w:val="0"/>
        <w:widowControl/>
        <w:spacing w:line="269" w:lineRule="auto" w:before="136" w:after="0"/>
        <w:ind w:left="864" w:right="0" w:hanging="36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 xml:space="preserve">Uses a standard, widely-recognized benchmark.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The NHE per-capita rate is published by</w:t>
      </w:r>
      <w:r>
        <w:rPr>
          <w:rFonts w:ascii="Liberation Sans" w:hAnsi="Liberation Sans" w:eastAsia="Liberation Sans"/>
          <w:b w:val="0"/>
          <w:i w:val="0"/>
          <w:color w:val="C69200"/>
          <w:sz w:val="22"/>
        </w:rPr>
        <w:t xml:space="preserve">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CMS, used in prior NIHB analyses, and familiar to OMB, CBO, and Congressional staff.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Its use is transparent and reproducible.</w:t>
      </w:r>
    </w:p>
    <w:p>
      <w:pPr>
        <w:autoSpaceDN w:val="0"/>
        <w:tabs>
          <w:tab w:pos="9392" w:val="left"/>
        </w:tabs>
        <w:autoSpaceDE w:val="0"/>
        <w:widowControl/>
        <w:spacing w:line="268" w:lineRule="exact" w:before="1072" w:after="0"/>
        <w:ind w:left="442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tab/>
      </w:r>
      <w:r>
        <w:rPr>
          <w:rFonts w:ascii="Carlito" w:hAnsi="Carlito" w:eastAsia="Carlito"/>
          <w:b w:val="0"/>
          <w:i w:val="0"/>
          <w:color w:val="000000"/>
          <w:sz w:val="22"/>
        </w:rPr>
        <w:t>9</w:t>
      </w:r>
    </w:p>
    <w:p>
      <w:pPr>
        <w:sectPr>
          <w:pgSz w:w="12240" w:h="15840"/>
          <w:pgMar w:top="724" w:right="1372" w:bottom="360" w:left="129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8"/>
        <w:ind w:left="0" w:right="0"/>
      </w:pPr>
    </w:p>
    <w:p>
      <w:pPr>
        <w:autoSpaceDN w:val="0"/>
        <w:autoSpaceDE w:val="0"/>
        <w:widowControl/>
        <w:spacing w:line="274" w:lineRule="auto" w:before="8" w:after="0"/>
        <w:ind w:left="864" w:right="144" w:hanging="36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 xml:space="preserve">Produces a bounded range, not a point estimate.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Table 5 spans $29–$45B in full-need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estimates across five scenarios. The gap persists under every scenario. Presenting a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range is analytically stronger than a single figure: it demonstrates that the conclusion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does not depend on the most favorable assumptions.</w:t>
      </w:r>
    </w:p>
    <w:p>
      <w:pPr>
        <w:autoSpaceDN w:val="0"/>
        <w:autoSpaceDE w:val="0"/>
        <w:widowControl/>
        <w:spacing w:line="274" w:lineRule="auto" w:before="136" w:after="0"/>
        <w:ind w:left="864" w:right="0" w:hanging="36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 xml:space="preserve">Conservative by design.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primary estimate uses unadjusted NHE rather than the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disease-burden-adjusted ceiling. It does not add Tribal own-source expenditures to the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gap. It does not fully account for the utilization artifact (Section 6.1). On every dimension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where a judgment call was required, this analysis chose the more conservative direction.</w:t>
      </w:r>
      <w:r>
        <w:rPr>
          <w:rFonts w:ascii="Liberation Sans" w:hAnsi="Liberation Sans" w:eastAsia="Liberation Sans"/>
          <w:b w:val="0"/>
          <w:i w:val="0"/>
          <w:color w:val="C69200"/>
          <w:sz w:val="22"/>
        </w:rPr>
        <w:t xml:space="preserve"> </w:t>
      </w:r>
    </w:p>
    <w:p>
      <w:pPr>
        <w:autoSpaceDN w:val="0"/>
        <w:autoSpaceDE w:val="0"/>
        <w:widowControl/>
        <w:spacing w:line="233" w:lineRule="auto" w:before="56" w:after="0"/>
        <w:ind w:left="8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The primary estimate is therefore more likely to understate true need than overstate it.</w:t>
      </w:r>
    </w:p>
    <w:p>
      <w:pPr>
        <w:autoSpaceDN w:val="0"/>
        <w:autoSpaceDE w:val="0"/>
        <w:widowControl/>
        <w:spacing w:line="276" w:lineRule="auto" w:before="138" w:after="0"/>
        <w:ind w:left="864" w:right="0" w:hanging="360"/>
        <w:jc w:val="left"/>
      </w:pPr>
      <w:r>
        <w:rPr>
          <w:rFonts w:ascii="Liberation Sans" w:hAnsi="Liberation Sans" w:eastAsia="Liberation Sans"/>
          <w:b/>
          <w:i w:val="0"/>
          <w:color w:val="C69200"/>
          <w:sz w:val="22"/>
          <w:u w:val="single"/>
        </w:rPr>
        <w:t xml:space="preserve">Likely understates total need.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utilization artifact (Section 6.1), the non-enrolled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descendant population, the urban AI/AN population outside IHS-access boundaries, and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Tribal own-source phenomenon all point in the same direction: the $17.8–$18.0B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estimate is a floor, not a ceiling. This is a known, named bias — and it runs against, not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for, the paper’s policy conclusion.</w:t>
      </w:r>
    </w:p>
    <w:p>
      <w:pPr>
        <w:autoSpaceDN w:val="0"/>
        <w:autoSpaceDE w:val="0"/>
        <w:widowControl/>
        <w:spacing w:line="233" w:lineRule="auto" w:before="418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8.  The Uninsured Concentration Problem</w:t>
      </w:r>
    </w:p>
    <w:p>
      <w:pPr>
        <w:autoSpaceDN w:val="0"/>
        <w:autoSpaceDE w:val="0"/>
        <w:widowControl/>
        <w:spacing w:line="281" w:lineRule="auto" w:before="268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funding gap is structurally concentrated in the uninsured population, whose care is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financed almost entirely through discretionary IHS appropriations and the Purchased/Referred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Care program. This concentration is not incidental; it explains why the gap exists, why PRC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rationing occurs, and why Medicaid expansion did not resolve the IHS appropriations shortfall.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Approximately 778,000 individuals — roughly 30% of the 2.6M IHS service population and 51%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of the IHS-access population — have no CMS coverage. For this population, every dollar of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underfunding translates directly into denied or deferred care: when PRC funds are exhausted,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referrals for specialty care, hospitalization, and services outside IHS’s direct-care capacity are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denied.</w:t>
      </w:r>
    </w:p>
    <w:p>
      <w:pPr>
        <w:autoSpaceDN w:val="0"/>
        <w:autoSpaceDE w:val="0"/>
        <w:widowControl/>
        <w:spacing w:line="233" w:lineRule="auto" w:before="298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8.1  Tribal Own-Source Expenditures: An Unmeasured Cost of Federal Underfunding</w:t>
      </w:r>
    </w:p>
    <w:p>
      <w:pPr>
        <w:autoSpaceDN w:val="0"/>
        <w:autoSpaceDE w:val="0"/>
        <w:widowControl/>
        <w:spacing w:line="281" w:lineRule="auto" w:before="106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Tribes are employers. Because IHS cannot provide comprehensive coverage for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working-age population, Tribes acting as employers must purchase commercial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insurance for their employees. This is not a voluntary benefit decision; it is a structural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consequence of IHS underfunding. The funding source for these premiums is Tribal own-source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revenue: gaming proceeds, enterprise income, land-use fees, and federal contract and compact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dollars. Every dollar spent on employee health insurance premiums is a dollar not available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housing, education, language preservation, economic development, or other exercises of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sovereignty.</w:t>
      </w:r>
    </w:p>
    <w:p>
      <w:pPr>
        <w:autoSpaceDN w:val="0"/>
        <w:autoSpaceDE w:val="0"/>
        <w:widowControl/>
        <w:spacing w:line="278" w:lineRule="auto" w:before="136" w:after="0"/>
        <w:ind w:left="144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Federal underfunding of IHS thus imposes a direct and recurring fiscal cost on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governments that does not appear in any federal budget document, any CMS data system, 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any published estimate of the IHS funding gap. The Table 4 gap therefore understates the true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cost of IHS underfunding to Tribal governments, even if it accurately describes the federal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investment shortfall. Tribal own-source spending on employee health care is not a legitimate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offset against the federal trust obligation. A rough order-of-magnitude estimate illustrates the </w:t>
      </w:r>
    </w:p>
    <w:p>
      <w:pPr>
        <w:autoSpaceDN w:val="0"/>
        <w:tabs>
          <w:tab w:pos="9280" w:val="left"/>
        </w:tabs>
        <w:autoSpaceDE w:val="0"/>
        <w:widowControl/>
        <w:spacing w:line="268" w:lineRule="exact" w:before="498" w:after="0"/>
        <w:ind w:left="442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rPr>
          <w:rFonts w:ascii="Carlito" w:hAnsi="Carlito" w:eastAsia="Carlito"/>
          <w:b w:val="0"/>
          <w:i w:val="0"/>
          <w:color w:val="000000"/>
          <w:sz w:val="22"/>
        </w:rPr>
        <w:t>10</w:t>
      </w:r>
    </w:p>
    <w:p>
      <w:pPr>
        <w:sectPr>
          <w:pgSz w:w="12240" w:h="15840"/>
          <w:pgMar w:top="720" w:right="1390" w:bottom="360" w:left="129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86" w:lineRule="auto" w:before="0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scale: approximately 240 Tribes operate health programs under P.L. 93-638 compacts 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contracts. Tribal workforces across these programs—inclusive of health, administrative,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enterprise employees—likely total 150,000 to 250,000 covered workers. At a conservative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employer premium contribution of $8,000–$12,000 per covered employee annually (consistent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with 2023 KFF Employer Health Benefits Survey benchmarks), aggregate Tribal own-source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insurance expenditures are on the order of $1.2–$3.0 billion annually.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This broad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estimate has two methodological limitations that likely cause it to overstate the trust-</w:t>
      </w:r>
      <w:r>
        <w:br/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responsibility-relevant component. First, Tribal workforces include substantial numbers of non-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AI/AN employees — particularly in gaming enterprises, hotels, and other Tribal businesses —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for whom employer-paid premiums carry no trust responsibility implications. Second, Contract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Support Costs reimburse administrative overhead for P.L. 93-638 health and government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programs specifically; enterprise employees are funded from gaming and enterprise revenue,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not CSC, and conflating the two overstates the CSC-adjacent workforce. Limiting attention to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AI/AN employees of Tribal government and health programs — the population most directly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relevant to the trust responsibility — and applying a conservative AI/AN workforce share of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approximately 50%, the trust-responsibility-relevant own-source expenditure is on the order of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$400–$900 million annually. This adjusted range is a conservative floor: it excludes non-AI/AN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employees and enterprise-funded workforces, and it is still structurally rough and not directly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verifiable from published sources. Its order of magnitude — hundreds of millions, not billions —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remains material and warrants recognition in any comprehensive accounting of the true cost of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federal underfunding. The broader $1.2–$3.0B figure remains illustrative of total Tribal employer</w:t>
      </w:r>
      <w:r>
        <w:rPr>
          <w:rFonts w:ascii="Liberation Sans" w:hAnsi="Liberation Sans" w:eastAsia="Liberation Sans"/>
          <w:b w:val="0"/>
          <w:i w:val="0"/>
          <w:color w:val="C69200"/>
          <w:sz w:val="22"/>
        </w:rPr>
        <w:t xml:space="preserve">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health expenditure but should not be cited as the trust-responsibility gap without this </w:t>
      </w:r>
      <w:r>
        <w:br/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adjustment.</w:t>
      </w:r>
    </w:p>
    <w:p>
      <w:pPr>
        <w:autoSpaceDN w:val="0"/>
        <w:autoSpaceDE w:val="0"/>
        <w:widowControl/>
        <w:spacing w:line="233" w:lineRule="auto" w:before="420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9.  Toward a Policy Response</w:t>
      </w:r>
    </w:p>
    <w:p>
      <w:pPr>
        <w:autoSpaceDN w:val="0"/>
        <w:autoSpaceDE w:val="0"/>
        <w:widowControl/>
        <w:spacing w:line="281" w:lineRule="auto" w:before="268" w:after="0"/>
        <w:ind w:left="14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The analysis supports several policy conclusions. First, the scale of the funding gap—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$17.9 billion annually—is not closeable through incremental appropriations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increases. Annual IHS appropriations grew by roughly $5 billion over thirteen years (FY 2010 to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FY 2023); closing the $17.9 billion remaining gap at that rate would take several decades while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NHE benchmark continues to rise. Second, the NIHB glide path (50% annual increases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three years, then 25% for three years, then 5.5% indefinitely) is analytically justified as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minimum pace of change consistent with closing the gap within a policy-relevant timeframe. </w:t>
      </w:r>
    </w:p>
    <w:p>
      <w:pPr>
        <w:autoSpaceDN w:val="0"/>
        <w:autoSpaceDE w:val="0"/>
        <w:widowControl/>
        <w:spacing w:line="276" w:lineRule="auto" w:before="56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Table 6 below applies the NIHB glide path to the FY 2023 IHS appropriations base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compares the resulting funding trajectory against the full-need benchmark. Third, the mandatory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funding framing—converting IHS from a discretionary appropriation to an entitlement-structured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program—addresses a structural problem that incremental appropriations cannot solve. Fourth,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infrastructure investment required must be treated as a separate, parallel investment track. </w:t>
      </w:r>
    </w:p>
    <w:p>
      <w:pPr>
        <w:autoSpaceDN w:val="0"/>
        <w:autoSpaceDE w:val="0"/>
        <w:widowControl/>
        <w:spacing w:line="259" w:lineRule="auto" w:before="58" w:after="0"/>
        <w:ind w:left="144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Fifth, Tribal sovereignty requires that Tribes ultimately define the scope and structure of “full-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spectrum” services in their communities.</w:t>
      </w:r>
    </w:p>
    <w:p>
      <w:pPr>
        <w:autoSpaceDN w:val="0"/>
        <w:autoSpaceDE w:val="0"/>
        <w:widowControl/>
        <w:spacing w:line="233" w:lineRule="auto" w:before="298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Table 6.  NIHB Glide Path Applied to IHS Appropriations (FY 2023 Base = $8.6B)</w:t>
      </w:r>
    </w:p>
    <w:p>
      <w:pPr>
        <w:autoSpaceDN w:val="0"/>
        <w:tabs>
          <w:tab w:pos="9280" w:val="left"/>
        </w:tabs>
        <w:autoSpaceDE w:val="0"/>
        <w:widowControl/>
        <w:spacing w:line="268" w:lineRule="exact" w:before="788" w:after="0"/>
        <w:ind w:left="442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rPr>
          <w:rFonts w:ascii="Carlito" w:hAnsi="Carlito" w:eastAsia="Carlito"/>
          <w:b w:val="0"/>
          <w:i w:val="0"/>
          <w:color w:val="000000"/>
          <w:sz w:val="22"/>
        </w:rPr>
        <w:t>11</w:t>
      </w:r>
    </w:p>
    <w:p>
      <w:pPr>
        <w:sectPr>
          <w:pgSz w:w="12240" w:h="15840"/>
          <w:pgMar w:top="724" w:right="1400" w:bottom="360" w:left="129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882"/>
        <w:gridCol w:w="1882"/>
        <w:gridCol w:w="1882"/>
        <w:gridCol w:w="1882"/>
        <w:gridCol w:w="1882"/>
      </w:tblGrid>
      <w:tr>
        <w:trPr>
          <w:trHeight w:hRule="atLeast" w:val="280"/>
        </w:trPr>
        <w:tc>
          <w:tcPr>
            <w:tcW w:type="dxa" w:w="1220"/>
            <w:vMerge w:val="restart"/>
            <w:tcBorders/>
            <w:shd w:fill="1a7a6e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8"/>
              </w:rPr>
              <w:t>Year</w:t>
            </w:r>
          </w:p>
        </w:tc>
        <w:tc>
          <w:tcPr>
            <w:tcW w:type="dxa" w:w="1680"/>
            <w:vMerge w:val="restart"/>
            <w:tcBorders/>
            <w:shd w:fill="1a7a6e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29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8"/>
              </w:rPr>
              <w:t>Increase Rate</w:t>
            </w:r>
          </w:p>
        </w:tc>
        <w:tc>
          <w:tcPr>
            <w:tcW w:type="dxa" w:w="2040"/>
            <w:vMerge w:val="restart"/>
            <w:tcBorders/>
            <w:shd w:fill="1a7a6e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8"/>
              </w:rPr>
              <w:t>IHS Appropriation</w:t>
            </w:r>
          </w:p>
        </w:tc>
        <w:tc>
          <w:tcPr>
            <w:tcW w:type="dxa" w:w="2040"/>
            <w:tcBorders/>
            <w:shd w:fill="1a7a6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8"/>
              </w:rPr>
              <w:t xml:space="preserve">Total Federal </w:t>
            </w:r>
          </w:p>
        </w:tc>
        <w:tc>
          <w:tcPr>
            <w:tcW w:type="dxa" w:w="2380"/>
            <w:tcBorders/>
            <w:shd w:fill="1a7a6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0" w:after="0"/>
              <w:ind w:left="0" w:right="528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8"/>
              </w:rPr>
              <w:t xml:space="preserve">vs. Full-Need </w:t>
            </w:r>
          </w:p>
        </w:tc>
      </w:tr>
      <w:tr>
        <w:trPr>
          <w:trHeight w:hRule="atLeast" w:val="294"/>
        </w:trPr>
        <w:tc>
          <w:tcPr>
            <w:tcW w:type="dxa" w:w="1882"/>
            <w:vMerge/>
            <w:tcBorders/>
          </w:tcPr>
          <w:p/>
        </w:tc>
        <w:tc>
          <w:tcPr>
            <w:tcW w:type="dxa" w:w="1882"/>
            <w:vMerge/>
            <w:tcBorders/>
          </w:tcPr>
          <w:p/>
        </w:tc>
        <w:tc>
          <w:tcPr>
            <w:tcW w:type="dxa" w:w="1882"/>
            <w:vMerge/>
            <w:tcBorders/>
          </w:tcPr>
          <w:p/>
        </w:tc>
        <w:tc>
          <w:tcPr>
            <w:tcW w:type="dxa" w:w="2040"/>
            <w:tcBorders/>
            <w:shd w:fill="1a7a6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8"/>
              </w:rPr>
              <w:t>Investment (est.)</w:t>
            </w:r>
          </w:p>
        </w:tc>
        <w:tc>
          <w:tcPr>
            <w:tcW w:type="dxa" w:w="2380"/>
            <w:tcBorders/>
            <w:shd w:fill="1a7a6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4" w:after="0"/>
              <w:ind w:left="32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8"/>
              </w:rPr>
              <w:t>Benchmark (~$37.7B)</w:t>
            </w:r>
          </w:p>
        </w:tc>
      </w:tr>
      <w:tr>
        <w:trPr>
          <w:trHeight w:hRule="atLeast" w:val="366"/>
        </w:trPr>
        <w:tc>
          <w:tcPr>
            <w:tcW w:type="dxa" w:w="1220"/>
            <w:tcBorders/>
            <w:shd w:fill="d5ede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FY 2023</w:t>
            </w:r>
          </w:p>
        </w:tc>
        <w:tc>
          <w:tcPr>
            <w:tcW w:type="dxa" w:w="1680"/>
            <w:tcBorders/>
            <w:shd w:fill="d5ede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394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Base year</w:t>
            </w:r>
          </w:p>
        </w:tc>
        <w:tc>
          <w:tcPr>
            <w:tcW w:type="dxa" w:w="2040"/>
            <w:tcBorders/>
            <w:shd w:fill="d5ede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$8.6B</w:t>
            </w:r>
          </w:p>
        </w:tc>
        <w:tc>
          <w:tcPr>
            <w:tcW w:type="dxa" w:w="2040"/>
            <w:tcBorders/>
            <w:shd w:fill="d5ede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~$19.6B</w:t>
            </w:r>
          </w:p>
        </w:tc>
        <w:tc>
          <w:tcPr>
            <w:tcW w:type="dxa" w:w="2380"/>
            <w:tcBorders/>
            <w:shd w:fill="d5ede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49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52% of benchmark</w:t>
            </w:r>
          </w:p>
        </w:tc>
      </w:tr>
      <w:tr>
        <w:trPr>
          <w:trHeight w:hRule="atLeast" w:val="368"/>
        </w:trPr>
        <w:tc>
          <w:tcPr>
            <w:tcW w:type="dxa" w:w="1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Y+1</w:t>
            </w:r>
          </w:p>
        </w:tc>
        <w:tc>
          <w:tcPr>
            <w:tcW w:type="dxa" w:w="16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0" w:right="566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+50%</w:t>
            </w:r>
          </w:p>
        </w:tc>
        <w:tc>
          <w:tcPr>
            <w:tcW w:type="dxa" w:w="2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$12.9B</w:t>
            </w:r>
          </w:p>
        </w:tc>
        <w:tc>
          <w:tcPr>
            <w:tcW w:type="dxa" w:w="2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~$23.9B</w:t>
            </w:r>
          </w:p>
        </w:tc>
        <w:tc>
          <w:tcPr>
            <w:tcW w:type="dxa" w:w="2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8" w:after="0"/>
              <w:ind w:left="49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63% of benchmark</w:t>
            </w:r>
          </w:p>
        </w:tc>
      </w:tr>
      <w:tr>
        <w:trPr>
          <w:trHeight w:hRule="atLeast" w:val="368"/>
        </w:trPr>
        <w:tc>
          <w:tcPr>
            <w:tcW w:type="dxa" w:w="122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Y+2</w:t>
            </w:r>
          </w:p>
        </w:tc>
        <w:tc>
          <w:tcPr>
            <w:tcW w:type="dxa" w:w="168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566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+50%</w:t>
            </w:r>
          </w:p>
        </w:tc>
        <w:tc>
          <w:tcPr>
            <w:tcW w:type="dxa" w:w="204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$19.4B</w:t>
            </w:r>
          </w:p>
        </w:tc>
        <w:tc>
          <w:tcPr>
            <w:tcW w:type="dxa" w:w="204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~$30.4B</w:t>
            </w:r>
          </w:p>
        </w:tc>
        <w:tc>
          <w:tcPr>
            <w:tcW w:type="dxa" w:w="238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49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81% of benchmark</w:t>
            </w:r>
          </w:p>
        </w:tc>
      </w:tr>
      <w:tr>
        <w:trPr>
          <w:trHeight w:hRule="atLeast" w:val="366"/>
        </w:trPr>
        <w:tc>
          <w:tcPr>
            <w:tcW w:type="dxa" w:w="1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Y+3</w:t>
            </w:r>
          </w:p>
        </w:tc>
        <w:tc>
          <w:tcPr>
            <w:tcW w:type="dxa" w:w="16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566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+50%</w:t>
            </w:r>
          </w:p>
        </w:tc>
        <w:tc>
          <w:tcPr>
            <w:tcW w:type="dxa" w:w="2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$29.1B</w:t>
            </w:r>
          </w:p>
        </w:tc>
        <w:tc>
          <w:tcPr>
            <w:tcW w:type="dxa" w:w="2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~$40.1B</w:t>
            </w:r>
          </w:p>
        </w:tc>
        <w:tc>
          <w:tcPr>
            <w:tcW w:type="dxa" w:w="2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40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18"/>
              </w:rPr>
              <w:t>106% — gap closed</w:t>
            </w:r>
          </w:p>
        </w:tc>
      </w:tr>
      <w:tr>
        <w:trPr>
          <w:trHeight w:hRule="atLeast" w:val="366"/>
        </w:trPr>
        <w:tc>
          <w:tcPr>
            <w:tcW w:type="dxa" w:w="122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Y+4</w:t>
            </w:r>
          </w:p>
        </w:tc>
        <w:tc>
          <w:tcPr>
            <w:tcW w:type="dxa" w:w="168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566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+25%</w:t>
            </w:r>
          </w:p>
        </w:tc>
        <w:tc>
          <w:tcPr>
            <w:tcW w:type="dxa" w:w="204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$36.4B</w:t>
            </w:r>
          </w:p>
        </w:tc>
        <w:tc>
          <w:tcPr>
            <w:tcW w:type="dxa" w:w="204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~$47.4B</w:t>
            </w:r>
          </w:p>
        </w:tc>
        <w:tc>
          <w:tcPr>
            <w:tcW w:type="dxa" w:w="2380"/>
            <w:tcBorders/>
            <w:shd w:fill="f5f5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86" w:after="0"/>
              <w:ind w:left="5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18"/>
              </w:rPr>
              <w:t>126% (sustaining)</w:t>
            </w:r>
          </w:p>
        </w:tc>
      </w:tr>
    </w:tbl>
    <w:p>
      <w:pPr>
        <w:autoSpaceDN w:val="0"/>
        <w:autoSpaceDE w:val="0"/>
        <w:widowControl/>
        <w:spacing w:line="245" w:lineRule="auto" w:before="88" w:after="0"/>
        <w:ind w:left="372" w:right="288" w:firstLine="0"/>
        <w:jc w:val="left"/>
      </w:pPr>
      <w:r>
        <w:rPr>
          <w:rFonts w:ascii="Liberation Sans" w:hAnsi="Liberation Sans" w:eastAsia="Liberation Sans"/>
          <w:b w:val="0"/>
          <w:i/>
          <w:color w:val="666666"/>
          <w:sz w:val="18"/>
        </w:rPr>
        <w:t xml:space="preserve">Note: IHS appropriation column applies NIHB glide path rates to the $8.6B FY 2023 base. Total Federal </w:t>
      </w:r>
      <w:r>
        <w:rPr>
          <w:rFonts w:ascii="Liberation Sans" w:hAnsi="Liberation Sans" w:eastAsia="Liberation Sans"/>
          <w:b w:val="0"/>
          <w:i/>
          <w:color w:val="666666"/>
          <w:sz w:val="18"/>
        </w:rPr>
        <w:t xml:space="preserve">Investment column adds Medicaid (~$8.5B) and Medicare (~$2.5B) held constant. Benchmark ($37.7B) </w:t>
      </w:r>
      <w:r>
        <w:rPr>
          <w:rFonts w:ascii="Liberation Sans" w:hAnsi="Liberation Sans" w:eastAsia="Liberation Sans"/>
          <w:b w:val="0"/>
          <w:i/>
          <w:color w:val="666666"/>
          <w:sz w:val="18"/>
        </w:rPr>
        <w:t xml:space="preserve">does not adjust for NHE growth over the period; actual full-need will rise. Gap closure at Y+3 assumes IHS </w:t>
      </w:r>
      <w:r>
        <w:rPr>
          <w:rFonts w:ascii="Liberation Sans" w:hAnsi="Liberation Sans" w:eastAsia="Liberation Sans"/>
          <w:b w:val="0"/>
          <w:i/>
          <w:color w:val="666666"/>
          <w:sz w:val="18"/>
        </w:rPr>
        <w:t xml:space="preserve">appropriations grow while CMS components remain stable—a conservative assumption that understates the </w:t>
      </w:r>
      <w:r>
        <w:rPr>
          <w:rFonts w:ascii="Liberation Sans" w:hAnsi="Liberation Sans" w:eastAsia="Liberation Sans"/>
          <w:b w:val="0"/>
          <w:i/>
          <w:color w:val="666666"/>
          <w:sz w:val="18"/>
        </w:rPr>
        <w:t>impact of concurrent Medicaid enrollment growth.</w:t>
      </w:r>
    </w:p>
    <w:p>
      <w:pPr>
        <w:autoSpaceDN w:val="0"/>
        <w:autoSpaceDE w:val="0"/>
        <w:widowControl/>
        <w:spacing w:line="233" w:lineRule="auto" w:before="36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10.  Summary</w:t>
      </w:r>
    </w:p>
    <w:p>
      <w:pPr>
        <w:autoSpaceDN w:val="0"/>
        <w:autoSpaceDE w:val="0"/>
        <w:widowControl/>
        <w:spacing w:line="281" w:lineRule="auto" w:before="26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total annual cost of full-spectrum health care for the 2.6 million AI/ANs eligible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IHS-funded services, benchmarked to 2023 National Health Expenditure per-capita rates under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NHE-parity assumptions, is estimated at approximately $37–38 billion. Current combined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federal investment totals approximately $19.6 billion, covering roughly 52% of full need under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framework. The remaining annual funding gap is approximately $17.8–$18.0 billion.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separate infrastructure investment of approximately $30–$34 billion is required over a 10–15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year period.</w:t>
      </w:r>
    </w:p>
    <w:p>
      <w:pPr>
        <w:autoSpaceDN w:val="0"/>
        <w:autoSpaceDE w:val="0"/>
        <w:widowControl/>
        <w:spacing w:line="278" w:lineRule="auto" w:before="13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question this paper addresses has a defensible answer. The United States currently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provides approximately 52 cents for every dollar of health care that the IHS service population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would receive at national per-capita rates. Providing the remaining 48 cents—approximately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$17.9 billion annually in additional services funding under the NHE-parity framework, plus $30–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$34 billion in infrastructure investment over 10–15 years—represents the analytically estimated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cost of honoring the federal trust responsibility in full under the assumptions of this analysis.</w:t>
      </w:r>
    </w:p>
    <w:p>
      <w:pPr>
        <w:autoSpaceDN w:val="0"/>
        <w:autoSpaceDE w:val="0"/>
        <w:widowControl/>
        <w:spacing w:line="233" w:lineRule="auto" w:before="2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0"/>
        </w:rPr>
        <w:t>Note on Scope: The Urban Population</w:t>
      </w:r>
    </w:p>
    <w:p>
      <w:pPr>
        <w:autoSpaceDN w:val="0"/>
        <w:autoSpaceDE w:val="0"/>
        <w:widowControl/>
        <w:spacing w:line="283" w:lineRule="auto" w:before="86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full-funding estimate in this paper is anchored to the IHS-access population —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enrolled Tribal citizens who use IHS direct-service or P.L. 93-638 Tribal facilities. That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population represents the analytical core of the trust responsibility obligation. It does not,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however, encompass the 62% of enrolled Tribal citizens who reside outside tribal homelands —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geographically heterogeneous population that includes rural border towns, small cities,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large metropolitan areas. Those in urban centers may be served by Urban Indian Organizations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(UIOs) funded under Title V of the Indian Health Care Improvement Act, though UIOs do not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serve the full off-homeland population. The financing structure for that population — the FMAP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disparity, the OMB rate gap, the structural differences between UIOs and the other two pillars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nominal I/T/U system — is addressed in Paper VI, </w:t>
      </w:r>
      <w:r>
        <w:rPr>
          <w:rFonts w:ascii="Liberation Sans" w:hAnsi="Liberation Sans" w:eastAsia="Liberation Sans"/>
          <w:b w:val="0"/>
          <w:i/>
          <w:color w:val="1A1A1A"/>
          <w:sz w:val="22"/>
        </w:rPr>
        <w:t xml:space="preserve">Urban Indian Health Programs and the </w:t>
      </w:r>
      <w:r>
        <w:rPr>
          <w:rFonts w:ascii="Liberation Sans" w:hAnsi="Liberation Sans" w:eastAsia="Liberation Sans"/>
          <w:b w:val="0"/>
          <w:i/>
          <w:color w:val="1A1A1A"/>
          <w:sz w:val="22"/>
        </w:rPr>
        <w:t>Indian Health Non-System: A Structural Analysis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. The trust responsibility obligation established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here does not cease at the IHS-access boundary; it follows enrolled citizens into cities. What </w:t>
      </w:r>
    </w:p>
    <w:p>
      <w:pPr>
        <w:autoSpaceDN w:val="0"/>
        <w:tabs>
          <w:tab w:pos="9148" w:val="left"/>
        </w:tabs>
        <w:autoSpaceDE w:val="0"/>
        <w:widowControl/>
        <w:spacing w:line="268" w:lineRule="exact" w:before="894" w:after="0"/>
        <w:ind w:left="4296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rPr>
          <w:rFonts w:ascii="Carlito" w:hAnsi="Carlito" w:eastAsia="Carlito"/>
          <w:b w:val="0"/>
          <w:i w:val="0"/>
          <w:color w:val="000000"/>
          <w:sz w:val="22"/>
        </w:rPr>
        <w:t>12</w:t>
      </w:r>
    </w:p>
    <w:p>
      <w:pPr>
        <w:sectPr>
          <w:pgSz w:w="12240" w:h="15840"/>
          <w:pgMar w:top="720" w:right="1400" w:bottom="360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that obligation requires in the urban context, and how it differs from what this paper addresses, </w:t>
      </w:r>
    </w:p>
    <w:p>
      <w:pPr>
        <w:autoSpaceDN w:val="0"/>
        <w:autoSpaceDE w:val="0"/>
        <w:widowControl/>
        <w:spacing w:line="233" w:lineRule="auto" w:before="58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are questions the series treats as analytically distinct but equally grounded in federal law.</w:t>
      </w:r>
    </w:p>
    <w:p>
      <w:pPr>
        <w:autoSpaceDN w:val="0"/>
        <w:autoSpaceDE w:val="0"/>
        <w:widowControl/>
        <w:spacing w:line="245" w:lineRule="auto" w:before="1030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The funding adequacy framework developed here is anchored to the IHS-access population,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reflecting both the structure of available data and the historical focus of federal policy. However,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this framework leaves unresolved a critical question: how does the federal trust responsibility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apply to enrolled Tribal citizens who live outside IHS service areas — the 62% who reside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beyond tribal homeland boundaries? The following papers examine the urban Indian health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system, where this question becomes unavoidable and where the limitations of the current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financing structure are most visible.</w:t>
      </w:r>
    </w:p>
    <w:p>
      <w:pPr>
        <w:autoSpaceDN w:val="0"/>
        <w:autoSpaceDE w:val="0"/>
        <w:widowControl/>
        <w:spacing w:line="233" w:lineRule="auto" w:before="370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References</w:t>
      </w:r>
    </w:p>
    <w:p>
      <w:pPr>
        <w:autoSpaceDN w:val="0"/>
        <w:tabs>
          <w:tab w:pos="504" w:val="left"/>
        </w:tabs>
        <w:autoSpaceDE w:val="0"/>
        <w:widowControl/>
        <w:spacing w:line="245" w:lineRule="auto" w:before="268" w:after="0"/>
        <w:ind w:left="144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Centers for Medicare and Medicaid Services. (2023). CMS–IHS data match: AI/AN Medicaid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enrollment and expenditures. U.S. Department of Health and Human Services.</w:t>
      </w:r>
    </w:p>
    <w:p>
      <w:pPr>
        <w:autoSpaceDN w:val="0"/>
        <w:tabs>
          <w:tab w:pos="504" w:val="left"/>
        </w:tabs>
        <w:autoSpaceDE w:val="0"/>
        <w:widowControl/>
        <w:spacing w:line="245" w:lineRule="auto" w:before="88" w:after="0"/>
        <w:ind w:left="144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Fox, E. J. (2023). Revised analysis of AI/AN Medicaid expenditures, 1999–2023. Indian Health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Financing Working Paper.</w:t>
      </w:r>
    </w:p>
    <w:p>
      <w:pPr>
        <w:autoSpaceDN w:val="0"/>
        <w:autoSpaceDE w:val="0"/>
        <w:widowControl/>
        <w:spacing w:line="233" w:lineRule="auto" w:before="88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Fox, E. J. (2025). The effective FMAP subsidy. Indian Health Financing Working Paper.</w:t>
      </w:r>
    </w:p>
    <w:p>
      <w:pPr>
        <w:autoSpaceDN w:val="0"/>
        <w:tabs>
          <w:tab w:pos="504" w:val="left"/>
        </w:tabs>
        <w:autoSpaceDE w:val="0"/>
        <w:widowControl/>
        <w:spacing w:line="245" w:lineRule="auto" w:before="86" w:after="0"/>
        <w:ind w:left="144" w:right="115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Service. (Multiple years). IHS congressional budget justifications. U.S.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Department of Health and Human Services.</w:t>
      </w:r>
    </w:p>
    <w:p>
      <w:pPr>
        <w:autoSpaceDN w:val="0"/>
        <w:tabs>
          <w:tab w:pos="504" w:val="left"/>
        </w:tabs>
        <w:autoSpaceDE w:val="0"/>
        <w:widowControl/>
        <w:spacing w:line="245" w:lineRule="auto" w:before="86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Service. (2020). The 2021 IHS and Tribal health care facilities’ needs assessment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report to Congress. U.S. Department of Health and Human Services.</w:t>
      </w:r>
    </w:p>
    <w:p>
      <w:pPr>
        <w:autoSpaceDN w:val="0"/>
        <w:tabs>
          <w:tab w:pos="504" w:val="left"/>
        </w:tabs>
        <w:autoSpaceDE w:val="0"/>
        <w:widowControl/>
        <w:spacing w:line="245" w:lineRule="auto" w:before="86" w:after="0"/>
        <w:ind w:left="144" w:right="115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Service, Office of Urban Indian Health Programs. (2023). Urban Indian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Organization infrastructure study report to Congress, fiscal year 2023.</w:t>
      </w:r>
    </w:p>
    <w:p>
      <w:pPr>
        <w:autoSpaceDN w:val="0"/>
        <w:tabs>
          <w:tab w:pos="504" w:val="left"/>
        </w:tabs>
        <w:autoSpaceDE w:val="0"/>
        <w:widowControl/>
        <w:spacing w:line="245" w:lineRule="auto" w:before="86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Service. (2024). IHS profile, October 2024. U.S. Department of Health and Human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Services.</w:t>
      </w:r>
    </w:p>
    <w:p>
      <w:pPr>
        <w:autoSpaceDN w:val="0"/>
        <w:tabs>
          <w:tab w:pos="504" w:val="left"/>
        </w:tabs>
        <w:autoSpaceDE w:val="0"/>
        <w:widowControl/>
        <w:spacing w:line="245" w:lineRule="auto" w:before="86" w:after="0"/>
        <w:ind w:left="144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National Indian Health Board. (2021). Mandatory funding introduction: Full funding for Indian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Health Service eligibles. 2022 Budget Formulation.</w:t>
      </w:r>
    </w:p>
    <w:p>
      <w:pPr>
        <w:autoSpaceDN w:val="0"/>
        <w:tabs>
          <w:tab w:pos="504" w:val="left"/>
        </w:tabs>
        <w:autoSpaceDE w:val="0"/>
        <w:widowControl/>
        <w:spacing w:line="245" w:lineRule="auto" w:before="86" w:after="0"/>
        <w:ind w:left="144" w:right="43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Ruffer, R., &amp; Le, J. (2025). 2025 state health insurance status report. National Indian Health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Board, Tribal Health Data Project.</w:t>
      </w:r>
    </w:p>
    <w:p>
      <w:pPr>
        <w:autoSpaceDN w:val="0"/>
        <w:autoSpaceDE w:val="0"/>
        <w:widowControl/>
        <w:spacing w:line="245" w:lineRule="auto" w:before="86" w:after="0"/>
        <w:ind w:left="504" w:right="144" w:hanging="36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U.S. Centers for Medicare &amp; Medicaid Services. (2024). National health expenditure accounts: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Historical. U.S. Department of Health and Human Services. https://www.cms.gov/data-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research/statistics-trends-and-reports/national-health-expenditure-data/historical</w:t>
      </w:r>
    </w:p>
    <w:p>
      <w:pPr>
        <w:autoSpaceDN w:val="0"/>
        <w:autoSpaceDE w:val="0"/>
        <w:widowControl/>
        <w:spacing w:line="245" w:lineRule="auto" w:before="88" w:after="0"/>
        <w:ind w:left="144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U.S. Census Bureau. (2024). American Community Survey 5-year public use microdata sample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(2019–2023). IPUMS USA, University of Minnesota. https://doi.org/10.18128/D010.V15.0</w:t>
      </w:r>
    </w:p>
    <w:p>
      <w:pPr>
        <w:autoSpaceDN w:val="0"/>
        <w:tabs>
          <w:tab w:pos="9280" w:val="left"/>
        </w:tabs>
        <w:autoSpaceDE w:val="0"/>
        <w:widowControl/>
        <w:spacing w:line="268" w:lineRule="exact" w:before="2776" w:after="0"/>
        <w:ind w:left="442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Page </w:t>
      </w:r>
      <w:r>
        <w:rPr>
          <w:rFonts w:ascii="Carlito" w:hAnsi="Carlito" w:eastAsia="Carlito"/>
          <w:b w:val="0"/>
          <w:i w:val="0"/>
          <w:color w:val="000000"/>
          <w:sz w:val="22"/>
        </w:rPr>
        <w:t>13</w:t>
      </w:r>
    </w:p>
    <w:p>
      <w:pPr>
        <w:sectPr>
          <w:pgSz w:w="12240" w:h="15840"/>
          <w:pgMar w:top="724" w:right="1364" w:bottom="360" w:left="129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88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124" w:right="432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 xml:space="preserve">Addendum (October 2026): Comparison with the National Tribal Budget </w:t>
      </w:r>
      <w:r>
        <w:rPr>
          <w:rFonts w:ascii="Liberation Sans" w:hAnsi="Liberation Sans" w:eastAsia="Liberation Sans"/>
          <w:b/>
          <w:i w:val="0"/>
          <w:color w:val="1A7A6E"/>
          <w:sz w:val="26"/>
        </w:rPr>
        <w:t>Formulation Workgroup Estimate</w:t>
      </w:r>
    </w:p>
    <w:p>
      <w:pPr>
        <w:autoSpaceDN w:val="0"/>
        <w:autoSpaceDE w:val="0"/>
        <w:widowControl/>
        <w:spacing w:line="209" w:lineRule="auto" w:before="226" w:after="0"/>
        <w:ind w:left="124" w:right="0" w:firstLine="0"/>
        <w:jc w:val="left"/>
      </w:pPr>
      <w:r>
        <w:rPr>
          <w:rFonts w:ascii="Liberation Sans" w:hAnsi="Liberation Sans" w:eastAsia="Liberation Sans"/>
          <w:b w:val="0"/>
          <w:i/>
          <w:color w:val="555555"/>
          <w:sz w:val="18"/>
        </w:rPr>
        <w:t>This addendum was added in October 2026. The analysis and figures in Sections 1–10 are unchanged.</w:t>
      </w:r>
    </w:p>
    <w:p>
      <w:pPr>
        <w:autoSpaceDN w:val="0"/>
        <w:autoSpaceDE w:val="0"/>
        <w:widowControl/>
        <w:spacing w:line="276" w:lineRule="auto" w:before="230" w:after="194"/>
        <w:ind w:left="124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paper’s estimate is not the only estimate of what full funding for Indian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would require. The IHS National Tribal Budget Formulation Workgroup, which brings together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Tribes from all twelve IHS Areas, recommends $76.1 billion for IHS in its FY 2028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recommendations (April 2026). That figure is roughly twice this paper’s full-need estimate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$37–38 billion, and more than four times its estimated annual gap of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$17.8–$18.0 billion. The difference is large, and much of it follows from the two estimates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measuring different things.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129"/>
        <w:gridCol w:w="3129"/>
        <w:gridCol w:w="3129"/>
      </w:tblGrid>
      <w:tr>
        <w:trPr>
          <w:trHeight w:hRule="atLeast" w:val="420"/>
        </w:trPr>
        <w:tc>
          <w:tcPr>
            <w:tcW w:type="dxa" w:w="2020"/>
            <w:tcBorders/>
            <w:shd w:fill="1a796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22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Dimension</w:t>
            </w:r>
          </w:p>
        </w:tc>
        <w:tc>
          <w:tcPr>
            <w:tcW w:type="dxa" w:w="3640"/>
            <w:tcBorders/>
            <w:shd w:fill="1a796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22" w:after="0"/>
              <w:ind w:left="3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This paper (Paper V)</w:t>
            </w:r>
          </w:p>
        </w:tc>
        <w:tc>
          <w:tcPr>
            <w:tcW w:type="dxa" w:w="3700"/>
            <w:tcBorders/>
            <w:shd w:fill="1a796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22" w:after="0"/>
              <w:ind w:left="24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Budget Formulation Workgroup</w:t>
            </w:r>
          </w:p>
        </w:tc>
      </w:tr>
      <w:tr>
        <w:trPr>
          <w:trHeight w:hRule="atLeast" w:val="292"/>
        </w:trPr>
        <w:tc>
          <w:tcPr>
            <w:tcW w:type="dxa" w:w="2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22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1A1A"/>
                <w:sz w:val="19"/>
              </w:rPr>
              <w:t>What is estimated</w:t>
            </w:r>
          </w:p>
        </w:tc>
        <w:tc>
          <w:tcPr>
            <w:tcW w:type="dxa" w:w="36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2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Annual cost of health services for the</w:t>
            </w:r>
          </w:p>
        </w:tc>
        <w:tc>
          <w:tcPr>
            <w:tcW w:type="dxa" w:w="37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2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A line-by-line recommendation for the</w:t>
            </w:r>
          </w:p>
        </w:tc>
      </w:tr>
    </w:tbl>
    <w:p>
      <w:pPr>
        <w:autoSpaceDN w:val="0"/>
        <w:autoSpaceDE w:val="0"/>
        <w:widowControl/>
        <w:spacing w:line="14" w:lineRule="exact" w:before="0" w:after="50"/>
        <w:ind w:left="0" w:right="0"/>
      </w:pPr>
    </w:p>
    <w:p>
      <w:pPr>
        <w:sectPr>
          <w:pgSz w:w="12240" w:h="15840"/>
          <w:pgMar w:top="810" w:right="1416" w:bottom="1050" w:left="143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2324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19"/>
        </w:rPr>
        <w:t xml:space="preserve">2.6 million IHS service population at a </w:t>
      </w:r>
      <w:r>
        <w:rPr>
          <w:rFonts w:ascii="Liberation Sans" w:hAnsi="Liberation Sans" w:eastAsia="Liberation Sans"/>
          <w:b w:val="0"/>
          <w:i w:val="0"/>
          <w:color w:val="1A1A1A"/>
          <w:sz w:val="19"/>
        </w:rPr>
        <w:t xml:space="preserve">National Health Expenditure (NHE) </w:t>
      </w:r>
      <w:r>
        <w:rPr>
          <w:rFonts w:ascii="Liberation Sans" w:hAnsi="Liberation Sans" w:eastAsia="Liberation Sans"/>
          <w:b w:val="0"/>
          <w:i w:val="0"/>
          <w:color w:val="1A1A1A"/>
          <w:sz w:val="19"/>
        </w:rPr>
        <w:t>parity benchmark</w:t>
      </w:r>
    </w:p>
    <w:p>
      <w:pPr>
        <w:sectPr>
          <w:type w:val="continuous"/>
          <w:pgSz w:w="12240" w:h="15840"/>
          <w:pgMar w:top="810" w:right="1416" w:bottom="1050" w:left="1436" w:header="720" w:footer="720" w:gutter="0"/>
          <w:cols w:num="2" w:equalWidth="0">
            <w:col w:w="5701" w:space="0"/>
            <w:col w:w="3686" w:space="0"/>
          </w:cols>
          <w:docGrid w:linePitch="360"/>
        </w:sectPr>
      </w:pPr>
    </w:p>
    <w:p>
      <w:pPr>
        <w:autoSpaceDN w:val="0"/>
        <w:autoSpaceDE w:val="0"/>
        <w:widowControl/>
        <w:spacing w:line="209" w:lineRule="auto" w:before="0" w:after="584"/>
        <w:ind w:left="20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19"/>
        </w:rPr>
        <w:t>IHS budget itself</w:t>
      </w:r>
    </w:p>
    <w:p>
      <w:pPr>
        <w:sectPr>
          <w:type w:val="nextColumn"/>
          <w:pgSz w:w="12240" w:h="15840"/>
          <w:pgMar w:top="810" w:right="1416" w:bottom="1050" w:left="1436" w:header="720" w:footer="720" w:gutter="0"/>
          <w:cols w:num="2" w:equalWidth="0">
            <w:col w:w="5701" w:space="0"/>
            <w:col w:w="3686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3129"/>
        <w:gridCol w:w="3129"/>
        <w:gridCol w:w="3129"/>
      </w:tblGrid>
      <w:tr>
        <w:trPr>
          <w:trHeight w:hRule="atLeast" w:val="336"/>
        </w:trPr>
        <w:tc>
          <w:tcPr>
            <w:tcW w:type="dxa" w:w="2204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A1A1A"/>
                <w:sz w:val="19"/>
              </w:rPr>
              <w:t>Other federal sources</w:t>
            </w:r>
          </w:p>
        </w:tc>
        <w:tc>
          <w:tcPr>
            <w:tcW w:type="dxa" w:w="3500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Medicaid, Medicare, and other federal</w:t>
            </w:r>
          </w:p>
        </w:tc>
        <w:tc>
          <w:tcPr>
            <w:tcW w:type="dxa" w:w="3664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2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A recommended IHS appropriation</w:t>
            </w:r>
          </w:p>
        </w:tc>
      </w:tr>
    </w:tbl>
    <w:p>
      <w:pPr>
        <w:autoSpaceDN w:val="0"/>
        <w:autoSpaceDE w:val="0"/>
        <w:widowControl/>
        <w:spacing w:line="245" w:lineRule="auto" w:before="22" w:after="104"/>
        <w:ind w:left="2324" w:right="38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19"/>
        </w:rPr>
        <w:t xml:space="preserve">sources (about $19.6 billion) count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19"/>
        </w:rPr>
        <w:t xml:space="preserve">toward meeting need; the gap is what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19"/>
        </w:rPr>
        <w:t>remains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3129"/>
        <w:gridCol w:w="3129"/>
        <w:gridCol w:w="3129"/>
      </w:tblGrid>
      <w:tr>
        <w:trPr>
          <w:trHeight w:hRule="atLeast" w:val="328"/>
        </w:trPr>
        <w:tc>
          <w:tcPr>
            <w:tcW w:type="dxa" w:w="2144"/>
            <w:vMerge w:val="restart"/>
            <w:tcBorders>
              <w:top w:sz="4.0" w:val="single" w:color="#CCCCCC"/>
              <w:bottom w:sz="4.0" w:val="single" w:color="#CCCCC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A1A1A"/>
                <w:sz w:val="19"/>
              </w:rPr>
              <w:t>Facilities and capital</w:t>
            </w:r>
          </w:p>
        </w:tc>
        <w:tc>
          <w:tcPr>
            <w:tcW w:type="dxa" w:w="3620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1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Treated as a separate investment of</w:t>
            </w:r>
          </w:p>
        </w:tc>
        <w:tc>
          <w:tcPr>
            <w:tcW w:type="dxa" w:w="3604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Facilities, sanitation, maintenance, and</w:t>
            </w:r>
          </w:p>
        </w:tc>
      </w:tr>
      <w:tr>
        <w:trPr>
          <w:trHeight w:hRule="atLeast" w:val="240"/>
        </w:trPr>
        <w:tc>
          <w:tcPr>
            <w:tcW w:type="dxa" w:w="3129"/>
            <w:vMerge/>
            <w:tcBorders>
              <w:top w:sz="4.0" w:val="single" w:color="#CCCCCC"/>
              <w:bottom w:sz="4.0" w:val="single" w:color="#CCCCCC"/>
            </w:tcBorders>
          </w:tcPr>
          <w:p/>
        </w:tc>
        <w:tc>
          <w:tcPr>
            <w:tcW w:type="dxa" w:w="3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about $30–$34 billion over 10–15 years</w:t>
            </w:r>
          </w:p>
        </w:tc>
        <w:tc>
          <w:tcPr>
            <w:tcW w:type="dxa" w:w="36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4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other capital needs carried inside the</w:t>
            </w:r>
          </w:p>
        </w:tc>
      </w:tr>
      <w:tr>
        <w:trPr>
          <w:trHeight w:hRule="atLeast" w:val="332"/>
        </w:trPr>
        <w:tc>
          <w:tcPr>
            <w:tcW w:type="dxa" w:w="3129"/>
            <w:vMerge/>
            <w:tcBorders>
              <w:top w:sz="4.0" w:val="single" w:color="#CCCCCC"/>
              <w:bottom w:sz="4.0" w:val="single" w:color="#CCCCCC"/>
            </w:tcBorders>
          </w:tcPr>
          <w:p/>
        </w:tc>
        <w:tc>
          <w:tcPr>
            <w:tcW w:type="dxa" w:w="3620"/>
            <w:tcBorders>
              <w:bottom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4" w:after="0"/>
              <w:ind w:left="1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(Section 5)</w:t>
            </w:r>
          </w:p>
        </w:tc>
        <w:tc>
          <w:tcPr>
            <w:tcW w:type="dxa" w:w="3604"/>
            <w:tcBorders>
              <w:bottom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4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annual total</w:t>
            </w:r>
          </w:p>
        </w:tc>
      </w:tr>
      <w:tr>
        <w:trPr>
          <w:trHeight w:hRule="atLeast" w:val="328"/>
        </w:trPr>
        <w:tc>
          <w:tcPr>
            <w:tcW w:type="dxa" w:w="2144"/>
            <w:vMerge w:val="restart"/>
            <w:tcBorders>
              <w:top w:sz="4.0" w:val="single" w:color="#CCCCC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12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1A1A"/>
                <w:sz w:val="19"/>
              </w:rPr>
              <w:t>Benchmark</w:t>
            </w:r>
          </w:p>
        </w:tc>
        <w:tc>
          <w:tcPr>
            <w:tcW w:type="dxa" w:w="3620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1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Unadjusted NHE in the primary</w:t>
            </w:r>
          </w:p>
        </w:tc>
        <w:tc>
          <w:tcPr>
            <w:tcW w:type="dxa" w:w="3604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Program-by-program need identified by</w:t>
            </w:r>
          </w:p>
        </w:tc>
      </w:tr>
      <w:tr>
        <w:trPr>
          <w:trHeight w:hRule="atLeast" w:val="248"/>
        </w:trPr>
        <w:tc>
          <w:tcPr>
            <w:tcW w:type="dxa" w:w="3129"/>
            <w:vMerge/>
            <w:tcBorders>
              <w:top w:sz="4.0" w:val="single" w:color="#CCCCCC"/>
            </w:tcBorders>
          </w:tcPr>
          <w:p/>
        </w:tc>
        <w:tc>
          <w:tcPr>
            <w:tcW w:type="dxa" w:w="3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estimate; a disease-burden adjustment</w:t>
            </w:r>
          </w:p>
        </w:tc>
        <w:tc>
          <w:tcPr>
            <w:tcW w:type="dxa" w:w="36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4" w:after="0"/>
              <w:ind w:left="14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Tribes</w:t>
            </w:r>
          </w:p>
        </w:tc>
      </w:tr>
    </w:tbl>
    <w:p>
      <w:pPr>
        <w:autoSpaceDN w:val="0"/>
        <w:autoSpaceDE w:val="0"/>
        <w:widowControl/>
        <w:spacing w:line="209" w:lineRule="auto" w:before="22" w:after="104"/>
        <w:ind w:left="232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19"/>
        </w:rPr>
        <w:t>reaches about $45 billion (Table 5)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3129"/>
        <w:gridCol w:w="3129"/>
        <w:gridCol w:w="3129"/>
      </w:tblGrid>
      <w:tr>
        <w:trPr>
          <w:trHeight w:hRule="atLeast" w:val="328"/>
        </w:trPr>
        <w:tc>
          <w:tcPr>
            <w:tcW w:type="dxa" w:w="2004"/>
            <w:vMerge w:val="restart"/>
            <w:tcBorders>
              <w:top w:sz="4.0" w:val="single" w:color="#CCCCCC"/>
              <w:bottom w:sz="4.0" w:val="single" w:color="#CCCCC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12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1A1A"/>
                <w:sz w:val="19"/>
              </w:rPr>
              <w:t>Who developed it</w:t>
            </w:r>
          </w:p>
        </w:tc>
        <w:tc>
          <w:tcPr>
            <w:tcW w:type="dxa" w:w="3620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3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Independent analytical estimate,</w:t>
            </w:r>
          </w:p>
        </w:tc>
        <w:tc>
          <w:tcPr>
            <w:tcW w:type="dxa" w:w="3744"/>
            <w:tcBorders>
              <w:top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116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Tribes from all twelve IHS Areas;</w:t>
            </w:r>
          </w:p>
        </w:tc>
      </w:tr>
      <w:tr>
        <w:trPr>
          <w:trHeight w:hRule="atLeast" w:val="332"/>
        </w:trPr>
        <w:tc>
          <w:tcPr>
            <w:tcW w:type="dxa" w:w="3129"/>
            <w:vMerge/>
            <w:tcBorders>
              <w:top w:sz="4.0" w:val="single" w:color="#CCCCCC"/>
              <w:bottom w:sz="4.0" w:val="single" w:color="#CCCCCC"/>
            </w:tcBorders>
          </w:tcPr>
          <w:p/>
        </w:tc>
        <w:tc>
          <w:tcPr>
            <w:tcW w:type="dxa" w:w="3620"/>
            <w:tcBorders>
              <w:bottom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conservative by design (Section 7A)</w:t>
            </w:r>
          </w:p>
        </w:tc>
        <w:tc>
          <w:tcPr>
            <w:tcW w:type="dxa" w:w="3744"/>
            <w:tcBorders>
              <w:bottom w:sz="4.0" w:val="single" w:color="#CCCCC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4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19"/>
              </w:rPr>
              <w:t>carries Tribal consensus</w:t>
            </w:r>
          </w:p>
        </w:tc>
      </w:tr>
    </w:tbl>
    <w:p>
      <w:pPr>
        <w:autoSpaceDN w:val="0"/>
        <w:autoSpaceDE w:val="0"/>
        <w:widowControl/>
        <w:spacing w:line="276" w:lineRule="auto" w:before="244" w:after="0"/>
        <w:ind w:left="124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fair comparison starts with the right pair of numbers. The Workgroup’s $76.1 billion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is a total recommendation for IHS, so it should be set against this paper’s full-need estimate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$37–38 billion, not against the $17.8–$18.0 billion gap, which is what remains after Medicaid,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Medicare, and other federal sources are counted. Even on that basis, the Workgroup figure 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about twice as large. Part of the remaining difference is scope: the Workgroup carries capital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needs inside its annual total, while this paper sets facilities aside as a multi-year investment.</w:t>
      </w:r>
    </w:p>
    <w:p>
      <w:pPr>
        <w:autoSpaceDN w:val="0"/>
        <w:autoSpaceDE w:val="0"/>
        <w:widowControl/>
        <w:spacing w:line="274" w:lineRule="auto" w:before="84" w:after="0"/>
        <w:ind w:left="124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Part is the benchmark: this paper’s primary estimate uses the unadjusted national average,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and Section 7 shows that a disease-burden adjustment alone raises full need from about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$37.7 billion to about $45.2 billion. The rest reflects the difference between a national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per-capita parity benchmark and a needs-based recommendation built program by program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by Tribes, which this paper does not attempt to reconcile line by line.</w:t>
      </w:r>
    </w:p>
    <w:p>
      <w:pPr>
        <w:sectPr>
          <w:type w:val="continuous"/>
          <w:pgSz w:w="12240" w:h="15840"/>
          <w:pgMar w:top="810" w:right="1416" w:bottom="1050" w:left="143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86"/>
        <w:ind w:left="0" w:right="0"/>
      </w:pPr>
    </w:p>
    <w:p>
      <w:pPr>
        <w:autoSpaceDN w:val="0"/>
        <w:autoSpaceDE w:val="0"/>
        <w:widowControl/>
        <w:spacing w:line="278" w:lineRule="auto" w:before="0" w:after="0"/>
        <w:ind w:left="120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two estimates are best read together rather than as competing answers. This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paper offers a conservative floor built from observed spending and a published national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benchmark, the kind of figure federal budget analysts can reproduce. The Workgroup’s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recommendation reflects what Tribes themselves have identified as needed, carries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weight of Tribal consensus, and is consistent with the principle stated in Section 9 that Tribes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ultimately define the scope of “full-spectrum” services in their communities. Both point in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same direction: current federal investment falls well short of what the trust responsibility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requires. Anyone citing either figure should say which one it is and what it measures.</w:t>
      </w:r>
    </w:p>
    <w:p>
      <w:pPr>
        <w:autoSpaceDN w:val="0"/>
        <w:autoSpaceDE w:val="0"/>
        <w:widowControl/>
        <w:spacing w:line="209" w:lineRule="auto" w:before="244" w:after="0"/>
        <w:ind w:left="12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Addendum reference</w:t>
      </w:r>
    </w:p>
    <w:p>
      <w:pPr>
        <w:autoSpaceDN w:val="0"/>
        <w:tabs>
          <w:tab w:pos="480" w:val="left"/>
        </w:tabs>
        <w:autoSpaceDE w:val="0"/>
        <w:widowControl/>
        <w:spacing w:line="245" w:lineRule="auto" w:before="136" w:after="0"/>
        <w:ind w:left="120" w:right="576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1"/>
        </w:rPr>
        <w:t xml:space="preserve">National Tribal Budget Formulation Workgroup. (2026, April). </w:t>
      </w:r>
      <w:r>
        <w:rPr>
          <w:rFonts w:ascii="Liberation Sans" w:hAnsi="Liberation Sans" w:eastAsia="Liberation Sans"/>
          <w:b w:val="0"/>
          <w:i/>
          <w:color w:val="1A1A1A"/>
          <w:sz w:val="21"/>
        </w:rPr>
        <w:t xml:space="preserve">Fiscal year 2028 Indian Health </w:t>
      </w:r>
      <w:r>
        <w:tab/>
      </w:r>
      <w:r>
        <w:rPr>
          <w:rFonts w:ascii="Liberation Sans" w:hAnsi="Liberation Sans" w:eastAsia="Liberation Sans"/>
          <w:b w:val="0"/>
          <w:i/>
          <w:color w:val="1A1A1A"/>
          <w:sz w:val="21"/>
        </w:rPr>
        <w:t>Service budget recommendations</w:t>
      </w:r>
      <w:r>
        <w:rPr>
          <w:rFonts w:ascii="Liberation Sans" w:hAnsi="Liberation Sans" w:eastAsia="Liberation Sans"/>
          <w:b w:val="0"/>
          <w:i w:val="0"/>
          <w:color w:val="1A1A1A"/>
          <w:sz w:val="21"/>
        </w:rPr>
        <w:t>. Indian Health Service.</w:t>
      </w:r>
    </w:p>
    <w:p>
      <w:pPr>
        <w:sectPr>
          <w:pgSz w:w="12240" w:h="15840"/>
          <w:pgMar w:top="804" w:right="1440" w:bottom="1440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0"/>
        <w:ind w:left="0" w:right="0"/>
      </w:pPr>
    </w:p>
    <w:p>
      <w:pPr>
        <w:autoSpaceDN w:val="0"/>
        <w:autoSpaceDE w:val="0"/>
        <w:widowControl/>
        <w:spacing w:line="240" w:lineRule="auto" w:before="0" w:after="288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2288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885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2"/>
        <w:gridCol w:w="4712"/>
      </w:tblGrid>
      <w:tr>
        <w:trPr>
          <w:trHeight w:hRule="atLeast" w:val="9840"/>
        </w:trPr>
        <w:tc>
          <w:tcPr>
            <w:tcW w:type="dxa" w:w="6962"/>
            <w:tcBorders>
              <w:top w:sz="18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9570" w:after="0"/>
              <w:ind w:left="0" w:right="2172" w:firstLine="0"/>
              <w:jc w:val="righ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Page </w:t>
            </w:r>
          </w:p>
        </w:tc>
        <w:tc>
          <w:tcPr>
            <w:tcW w:type="dxa" w:w="2442"/>
            <w:tcBorders>
              <w:top w:sz="18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9570" w:after="0"/>
              <w:ind w:left="0" w:right="22" w:firstLine="0"/>
              <w:jc w:val="righ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14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720" w:right="1398" w:bottom="360" w:left="14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192"/>
        <w:ind w:left="0" w:right="0"/>
      </w:pPr>
    </w:p>
    <w:p>
      <w:pPr>
        <w:autoSpaceDN w:val="0"/>
        <w:tabs>
          <w:tab w:pos="9138" w:val="left"/>
        </w:tabs>
        <w:autoSpaceDE w:val="0"/>
        <w:widowControl/>
        <w:spacing w:line="268" w:lineRule="exact" w:before="0" w:after="0"/>
        <w:ind w:left="2876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Indian Health Finance Series      Page </w:t>
      </w:r>
      <w:r>
        <w:rPr>
          <w:rFonts w:ascii="Carlito" w:hAnsi="Carlito" w:eastAsia="Carlito"/>
          <w:b w:val="0"/>
          <w:i w:val="0"/>
          <w:color w:val="000000"/>
          <w:sz w:val="22"/>
        </w:rPr>
        <w:t>15</w:t>
      </w:r>
    </w:p>
    <w:p>
      <w:pPr>
        <w:sectPr>
          <w:pgSz w:w="12240" w:h="15840"/>
          <w:pgMar w:top="1440" w:right="1420" w:bottom="360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192"/>
        <w:ind w:left="0" w:right="0"/>
      </w:pPr>
    </w:p>
    <w:p>
      <w:pPr>
        <w:autoSpaceDN w:val="0"/>
        <w:tabs>
          <w:tab w:pos="9138" w:val="left"/>
        </w:tabs>
        <w:autoSpaceDE w:val="0"/>
        <w:widowControl/>
        <w:spacing w:line="268" w:lineRule="exact" w:before="0" w:after="0"/>
        <w:ind w:left="2876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2"/>
        </w:rPr>
        <w:t xml:space="preserve">Indian Health Finance Series      Page </w:t>
      </w:r>
      <w:r>
        <w:rPr>
          <w:rFonts w:ascii="Carlito" w:hAnsi="Carlito" w:eastAsia="Carlito"/>
          <w:b w:val="0"/>
          <w:i w:val="0"/>
          <w:color w:val="000000"/>
          <w:sz w:val="22"/>
        </w:rPr>
        <w:t>16</w:t>
      </w:r>
    </w:p>
    <w:sectPr w:rsidR="00FC693F" w:rsidRPr="0006063C" w:rsidSect="00034616">
      <w:pgSz w:w="12240" w:h="15840"/>
      <w:pgMar w:top="1440" w:right="1420" w:bottom="360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