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746"/>
        <w:ind w:left="0" w:right="0"/>
      </w:pPr>
    </w:p>
    <w:p>
      <w:pPr>
        <w:autoSpaceDN w:val="0"/>
        <w:autoSpaceDE w:val="0"/>
        <w:widowControl/>
        <w:spacing w:line="402" w:lineRule="exact" w:before="0" w:after="0"/>
        <w:ind w:left="0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36"/>
        </w:rPr>
        <w:t>What the Series Establishes</w:t>
      </w:r>
    </w:p>
    <w:p>
      <w:pPr>
        <w:autoSpaceDN w:val="0"/>
        <w:autoSpaceDE w:val="0"/>
        <w:widowControl/>
        <w:spacing w:line="268" w:lineRule="exact" w:before="88" w:after="0"/>
        <w:ind w:left="402" w:right="0" w:firstLine="0"/>
        <w:jc w:val="left"/>
      </w:pPr>
      <w:r>
        <w:rPr>
          <w:rFonts w:ascii="Liberation Sans" w:hAnsi="Liberation Sans" w:eastAsia="Liberation Sans"/>
          <w:b w:val="0"/>
          <w:i/>
          <w:color w:val="555555"/>
          <w:sz w:val="24"/>
        </w:rPr>
        <w:t>A Synthesis of Findings, Unresolved Questions, and a Priority Research Agenda</w:t>
      </w:r>
    </w:p>
    <w:p>
      <w:pPr>
        <w:autoSpaceDN w:val="0"/>
        <w:autoSpaceDE w:val="0"/>
        <w:widowControl/>
        <w:spacing w:line="294" w:lineRule="exact" w:before="38" w:after="0"/>
        <w:ind w:left="2160" w:right="2160" w:firstLine="0"/>
        <w:jc w:val="center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Edward J. Fox, PhD </w:t>
      </w:r>
      <w:r>
        <w:br/>
      </w:r>
      <w:r>
        <w:rPr>
          <w:rFonts w:ascii="Liberation Sans" w:hAnsi="Liberation Sans" w:eastAsia="Liberation Sans"/>
          <w:b w:val="0"/>
          <w:i/>
          <w:color w:val="555555"/>
          <w:sz w:val="22"/>
        </w:rPr>
        <w:t>April 2026 · Indian Health Financing Series · Coda</w:t>
      </w:r>
    </w:p>
    <w:p>
      <w:pPr>
        <w:keepNext/>
        <w:spacing w:before="240" w:after="0"/>
        <w:jc w:val="center"/>
      </w:pPr>
      <w:r>
        <w:drawing>
          <wp:inline xmlns:a="http://schemas.openxmlformats.org/drawingml/2006/main" xmlns:pic="http://schemas.openxmlformats.org/drawingml/2006/picture">
            <wp:extent cx="1463040" cy="1828800"/>
            <wp:docPr id="9901" name="Carved mas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01" name="mask.png"/>
                    <pic:cNvPicPr/>
                  </pic:nvPicPr>
                  <pic:blipFill>
                    <a:blip r:embed="rIdIhfMask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82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240"/>
        <w:jc w:val="center"/>
      </w:pPr>
      <w:r>
        <w:rPr>
          <w:i/>
          <w:color w:val="888888"/>
          <w:sz w:val="16"/>
        </w:rPr>
        <w:t>Carved mask, gift to the author from the Port Gamble S’Klallam Tribe</w:t>
      </w:r>
    </w:p>
    <w:p>
      <w:pPr>
        <w:autoSpaceDN w:val="0"/>
        <w:autoSpaceDE w:val="0"/>
        <w:widowControl/>
        <w:spacing w:line="312" w:lineRule="exact" w:before="330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I. Purpose and Scope</w:t>
      </w:r>
    </w:p>
    <w:p>
      <w:pPr>
        <w:autoSpaceDN w:val="0"/>
        <w:autoSpaceDE w:val="0"/>
        <w:widowControl/>
        <w:spacing w:line="304" w:lineRule="exact" w:before="28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coda does not introduce new data. It steps back from the individual papers to ask what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series, taken as a whole, has established — and where the most important gaps remain.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Financing Series spans seven papers covering population measurement,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financing architecture, IHS access trends, federal funding adequacy, administrative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history, and the urban Indian health financing structure. This document synthesizes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connective tissue.</w:t>
      </w:r>
    </w:p>
    <w:p>
      <w:pPr>
        <w:autoSpaceDN w:val="0"/>
        <w:autoSpaceDE w:val="0"/>
        <w:widowControl/>
        <w:spacing w:line="304" w:lineRule="exact" w:before="78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papers were written to be read independently. But they were designed to build a cumulative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argument: that the federal government’s financial obligation to American Indian and Alaska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Native health care is real, large, structurally undermet, and chronically mismeasured. This coda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traces that argument from beginning to end.</w:t>
      </w:r>
    </w:p>
    <w:p>
      <w:pPr>
        <w:autoSpaceDN w:val="0"/>
        <w:autoSpaceDE w:val="0"/>
        <w:widowControl/>
        <w:spacing w:line="312" w:lineRule="exact" w:before="300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II. What the Series Establishes</w:t>
      </w:r>
    </w:p>
    <w:p>
      <w:pPr>
        <w:autoSpaceDN w:val="0"/>
        <w:autoSpaceDE w:val="0"/>
        <w:widowControl/>
        <w:spacing w:line="246" w:lineRule="exact" w:before="206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2E75B6"/>
          <w:sz w:val="22"/>
        </w:rPr>
        <w:t>Paper I: How We Count Matters</w:t>
      </w:r>
    </w:p>
    <w:p>
      <w:pPr>
        <w:autoSpaceDN w:val="0"/>
        <w:autoSpaceDE w:val="0"/>
        <w:widowControl/>
        <w:spacing w:line="302" w:lineRule="exact" w:before="32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Population measurement for AI/AN people involves at least three overlapping systems —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enrollment, Census self-identification, and IHS registration — none of which is a subset of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others. The total enrolled Tribal citizen population (2,652,345 across 573 federally recognized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Tribes as of 2021) is the most legally grounded denominator for trust responsibility analysis. </w:t>
      </w:r>
    </w:p>
    <w:p>
      <w:pPr>
        <w:autoSpaceDN w:val="0"/>
        <w:autoSpaceDE w:val="0"/>
        <w:widowControl/>
        <w:spacing w:line="304" w:lineRule="exact" w:before="0" w:after="0"/>
        <w:ind w:left="2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ACS self-identification yields a broader but methodologically distinct count. The choice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denominator is not neutral: it directly affects estimates of the funding gap, Medicaid enrollment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rates, and coverage disparities.</w:t>
      </w:r>
    </w:p>
    <w:p>
      <w:pPr>
        <w:autoSpaceDN w:val="0"/>
        <w:autoSpaceDE w:val="0"/>
        <w:widowControl/>
        <w:spacing w:line="246" w:lineRule="exact" w:before="256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2E75B6"/>
          <w:sz w:val="22"/>
        </w:rPr>
        <w:t>Paper III: The Effective FMAP Subsidy</w:t>
      </w:r>
    </w:p>
    <w:p>
      <w:pPr>
        <w:autoSpaceDN w:val="0"/>
        <w:autoSpaceDE w:val="0"/>
        <w:widowControl/>
        <w:spacing w:line="302" w:lineRule="exact" w:before="32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Medicaid’s 100% Federal Medical Assistance Percentage for IHS and Tribal facilities functions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as a structural subsidy to state Medicaid programs — not merely a financing mechanism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Indian health. When AI/AN Medicaid enrollees receive care at I/T/U facilities instead of state-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reimbursed facilities, states pay nothing. The estimated annual state savings range from $1.3 to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$2.3 billion nationally, using the 941,168 IHS-access Medicaid enrollees from the CMS–IHS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Match as the population anchor. This subsidy is invisible in state Medicaid budget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documents and absent from most federal Indian health policy analysis.</w:t>
      </w:r>
    </w:p>
    <w:p>
      <w:pPr>
        <w:autoSpaceDN w:val="0"/>
        <w:autoSpaceDE w:val="0"/>
        <w:widowControl/>
        <w:spacing w:line="246" w:lineRule="exact" w:before="256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2E75B6"/>
          <w:sz w:val="22"/>
        </w:rPr>
        <w:t>Papers IV-A through IV-D: IHS Access Trends</w:t>
      </w:r>
    </w:p>
    <w:p>
      <w:pPr>
        <w:autoSpaceDN w:val="0"/>
        <w:autoSpaceDE w:val="0"/>
        <w:widowControl/>
        <w:spacing w:line="302" w:lineRule="exact" w:before="32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share of AI/AN people reporting IHS access declined across most IHS Areas between 2010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and 2019, with partial recovery in some Areas by 2024. The ACA’s Medicaid expansion </w:t>
      </w:r>
    </w:p>
    <w:p>
      <w:pPr>
        <w:sectPr>
          <w:pgSz w:w="12240" w:h="15840"/>
          <w:pgMar w:top="966" w:right="1386" w:bottom="86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2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increased coverage substantially without proportionally increasing IHS access — suggesting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that expanded eligibility reached a population that was already receiving care through other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channels, or that IHS capacity constraints prevented absorption of newly insured patients.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Private insurance coverage among IHS users increased, but remains a secondary rather than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primary financing source.</w:t>
      </w:r>
    </w:p>
    <w:p>
      <w:pPr>
        <w:autoSpaceDN w:val="0"/>
        <w:autoSpaceDE w:val="0"/>
        <w:widowControl/>
        <w:spacing w:line="246" w:lineRule="exact" w:before="25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2E75B6"/>
          <w:sz w:val="22"/>
        </w:rPr>
        <w:t>Paper V: The Full-Funding Requirement</w:t>
      </w:r>
    </w:p>
    <w:p>
      <w:pPr>
        <w:autoSpaceDN w:val="0"/>
        <w:autoSpaceDE w:val="0"/>
        <w:widowControl/>
        <w:spacing w:line="304" w:lineRule="exact" w:before="28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IHS is legally obligated to provide health care to eligible AI/AN people but is chronically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funded at levels far below what parity with the U.S. general population would require.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obligation-based framework developed in this paper estimates the full-funding requirement at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$37–38 billion annually, against current IHS appropriations of roughly $7.5–8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billion — a gap of $17.8–$18.0 billion per year. This estimate is anchored to enrolled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citizens (Population A, IHS-access) and treats Medicaid, Medicare, and VA reimbursements as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credits against the obligation. It is almost certainly a floor relative to actual need, and it is also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different kind of estimate than the NTBFWG’s $73 billion system-completion figure — the two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answer different questions, use different population denominators, and treat Medicaid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differently; they are not directly comparable. See Section IV below.</w:t>
      </w:r>
    </w:p>
    <w:p>
      <w:pPr>
        <w:autoSpaceDN w:val="0"/>
        <w:autoSpaceDE w:val="0"/>
        <w:widowControl/>
        <w:spacing w:line="246" w:lineRule="exact" w:before="256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2E75B6"/>
          <w:sz w:val="22"/>
        </w:rPr>
        <w:t>Paper II: A History of CMS–IHS Tribal Data Improvement</w:t>
      </w:r>
    </w:p>
    <w:p>
      <w:pPr>
        <w:autoSpaceDN w:val="0"/>
        <w:autoSpaceDE w:val="0"/>
        <w:widowControl/>
        <w:spacing w:line="304" w:lineRule="exact" w:before="30" w:after="0"/>
        <w:ind w:left="2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administrative data infrastructure that makes the preceding analyses possible was built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incrementally over three decades through the CMS Tribal Technical Advisory Group (TTAG)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Committee, the NIHB Tribal Data Project, and the landmark 2023 CMS–IHS Data Match. </w:t>
      </w:r>
    </w:p>
    <w:p>
      <w:pPr>
        <w:autoSpaceDN w:val="0"/>
        <w:autoSpaceDE w:val="0"/>
        <w:widowControl/>
        <w:spacing w:line="304" w:lineRule="exact" w:before="0" w:after="0"/>
        <w:ind w:left="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Data Match — linking 941,168 IHS-access Medicaid enrollees to $6.4–6.6 billion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expenditures and a composite CMS investment of $10.86 billion — is the most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authoritative cross-agency dataset in Indian health financing. Its governance architecture (the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DUA, the Tribal Advisory Committee, the VRDC access protocol) is as significant as its findings.</w:t>
      </w:r>
    </w:p>
    <w:p>
      <w:pPr>
        <w:autoSpaceDN w:val="0"/>
        <w:autoSpaceDE w:val="0"/>
        <w:widowControl/>
        <w:spacing w:line="290" w:lineRule="exact" w:before="298" w:after="122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Key Analytical Anchors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.0" w:type="dxa"/>
      </w:tblPr>
      <w:tblGrid>
        <w:gridCol w:w="9380"/>
      </w:tblGrid>
      <w:tr>
        <w:trPr>
          <w:trHeight w:hRule="atLeast" w:val="312"/>
        </w:trPr>
        <w:tc>
          <w:tcPr>
            <w:tcW w:type="dxa" w:w="900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" w:after="0"/>
              <w:ind w:left="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941,168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AI/AN Medicaid enrollees with IHS access (CMS–IHS Data Match, 2023)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66"/>
        </w:trPr>
        <w:tc>
          <w:tcPr>
            <w:tcW w:type="dxa" w:w="796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$6.4–6.6B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Annual Medicaid expenditures for IHS-access enrollees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66"/>
        </w:trPr>
        <w:tc>
          <w:tcPr>
            <w:tcW w:type="dxa" w:w="878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$10.86B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Total composite CMS investment (Medicaid + Medicare + other; Medicare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66"/>
        </w:trPr>
        <w:tc>
          <w:tcPr>
            <w:tcW w:type="dxa" w:w="700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component incorporates ACS-based estimates)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66"/>
        </w:trPr>
        <w:tc>
          <w:tcPr>
            <w:tcW w:type="dxa" w:w="860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2,652,345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Enrolled Tribal citizens across 573 federally recognized Tribes (2021)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66"/>
        </w:trPr>
        <w:tc>
          <w:tcPr>
            <w:tcW w:type="dxa" w:w="832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$37–38B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Estimated full-funding requirement (obligation-based framework)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40"/>
        </w:trPr>
        <w:tc>
          <w:tcPr>
            <w:tcW w:type="dxa" w:w="788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$17.8–18.0B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Estimated annual funding gap (a floor, not a ceiling)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340"/>
        </w:trPr>
        <w:tc>
          <w:tcPr>
            <w:tcW w:type="dxa" w:w="814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2"/>
              </w:rPr>
              <w:t xml:space="preserve">$1.3–2.3B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Estimated annual state Medicaid savings from 100% FMAP</w:t>
            </w:r>
          </w:p>
        </w:tc>
      </w:tr>
    </w:tbl>
    <w:p>
      <w:pPr>
        <w:autoSpaceDN w:val="0"/>
        <w:autoSpaceDE w:val="0"/>
        <w:widowControl/>
        <w:spacing w:line="254" w:lineRule="exact" w:before="24" w:after="0"/>
        <w:ind w:left="362" w:right="144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2"/>
        </w:rPr>
        <w:t xml:space="preserve">27% 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Higher HHS-HCC risk score for AI/AN Medicaid enrollees vs. comparison population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(Mathematica/NIHB interim, 2025)</w:t>
      </w:r>
    </w:p>
    <w:p>
      <w:pPr>
        <w:autoSpaceDN w:val="0"/>
        <w:autoSpaceDE w:val="0"/>
        <w:widowControl/>
        <w:spacing w:line="230" w:lineRule="exact" w:before="80" w:after="0"/>
        <w:ind w:left="362" w:right="0" w:firstLine="0"/>
        <w:jc w:val="left"/>
      </w:pP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Note: The NTBFWG system-completion model estimates full funding at approximately $73 billion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annually (FY2027). That figure and the $37–38B obligation-based estimate are not directly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comparable: they use different population denominators, treat Medicaid differently (supplemental vs.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80"/>
      </w:tblGrid>
      <w:tr>
        <w:trPr>
          <w:trHeight w:hRule="atLeast" w:val="262"/>
        </w:trPr>
        <w:tc>
          <w:tcPr>
            <w:tcW w:type="dxa" w:w="8620"/>
            <w:tcBorders/>
            <w:shd w:fill="eaf3fb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0"/>
              </w:rPr>
              <w:t>integral federal investment), and answer different policy questions. See Section IV below.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724" w:right="1420" w:bottom="1030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6"/>
        <w:ind w:left="0" w:right="0"/>
      </w:pPr>
    </w:p>
    <w:p>
      <w:pPr>
        <w:autoSpaceDN w:val="0"/>
        <w:autoSpaceDE w:val="0"/>
        <w:widowControl/>
        <w:spacing w:line="312" w:lineRule="exact" w:before="0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III. What the Series Does Not Resolve</w:t>
      </w:r>
    </w:p>
    <w:p>
      <w:pPr>
        <w:autoSpaceDN w:val="0"/>
        <w:autoSpaceDE w:val="0"/>
        <w:widowControl/>
        <w:spacing w:line="304" w:lineRule="exact" w:before="68" w:after="0"/>
        <w:ind w:left="2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series is honest about its limits. The following questions were identified but could not be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resolved with currently available data.</w:t>
      </w:r>
    </w:p>
    <w:p>
      <w:pPr>
        <w:autoSpaceDN w:val="0"/>
        <w:autoSpaceDE w:val="0"/>
        <w:widowControl/>
        <w:spacing w:line="304" w:lineRule="exact" w:before="118" w:after="0"/>
        <w:ind w:left="2" w:right="144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The dual-eligible reconciliation.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CMS–IHS Data Match identifies 102,865 dual-eligible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(Medicare and Medicaid) AI/AN enrollees in the IHS-access population. The ACS five-year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estimates suggest a somewhat lower dual-eligible count among the broader AI/AN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population. The sources use different population definitions and different measurement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approaches. A definitive reconciliation requires a five-way T-MSIS cross-tabulation that has not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yet been completed.</w:t>
      </w:r>
    </w:p>
    <w:p>
      <w:pPr>
        <w:autoSpaceDN w:val="0"/>
        <w:autoSpaceDE w:val="0"/>
        <w:widowControl/>
        <w:spacing w:line="304" w:lineRule="exact" w:before="11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The non-enrolled descendant population.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 provides direct services to many individuals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who are descendants of enrolled Tribal citizens but are not themselves enrolled. This population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appears in IHS user registries but not in Tribal enrollment counts. Its size is unknown and its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inclusion or exclusion substantially affects the trust responsibility denominator.</w:t>
      </w:r>
    </w:p>
    <w:p>
      <w:pPr>
        <w:autoSpaceDN w:val="0"/>
        <w:autoSpaceDE w:val="0"/>
        <w:widowControl/>
        <w:spacing w:line="304" w:lineRule="exact" w:before="120" w:after="0"/>
        <w:ind w:left="2" w:right="288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Tribal own-source health expenditures.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Tribes spend substantial own-source revenues 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programs — in some cases more than they receive from IHS. These expenditures 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real and economically significant but are not captured in any federal data system. They 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structurally invisible, which means the true federal contribution to Indian health financing 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smaller than it appears when measured against total health expenditures.</w:t>
      </w:r>
    </w:p>
    <w:p>
      <w:pPr>
        <w:autoSpaceDN w:val="0"/>
        <w:autoSpaceDE w:val="0"/>
        <w:widowControl/>
        <w:spacing w:line="302" w:lineRule="exact" w:before="122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The private insurance intersection.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Papers IV-A through IV-D document rising private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insurance coverage among AI/AN populations. The interaction between private insurance,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Medicaid, IHS direct care, and PRC (Purchased/Referred Care) at the individual level cannot be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resolved without a five-way ACS PUMS cross-tabulation (RACAIAN × HINS1–7 × IHS access ×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income × geography) that is computationally demanding and has not been produced for this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series.</w:t>
      </w:r>
    </w:p>
    <w:p>
      <w:pPr>
        <w:autoSpaceDN w:val="0"/>
        <w:autoSpaceDE w:val="0"/>
        <w:widowControl/>
        <w:spacing w:line="302" w:lineRule="exact" w:before="122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State-level CHSDA variation.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Contract Health Service Delivery Area (CHSDA) designation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determines PRC eligibility for off-reservation AI/AN residents. CHSDA boundaries vary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enormously by state, and the effect of this variation on PRC demand measurement is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substantial but incompletely documented in the published literature.</w:t>
      </w:r>
    </w:p>
    <w:p>
      <w:pPr>
        <w:autoSpaceDN w:val="0"/>
        <w:autoSpaceDE w:val="0"/>
        <w:widowControl/>
        <w:spacing w:line="314" w:lineRule="exact" w:before="300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IV. Priority Research Agenda</w:t>
      </w:r>
    </w:p>
    <w:p>
      <w:pPr>
        <w:autoSpaceDN w:val="0"/>
        <w:autoSpaceDE w:val="0"/>
        <w:widowControl/>
        <w:spacing w:line="302" w:lineRule="exact" w:before="70" w:after="0"/>
        <w:ind w:left="2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following research questions are organized by feasibility — from analyses that could be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conducted with existing data and current access protocols, through questions that require new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data collection, to longer-term questions that require either policy change or infrastructure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development.</w:t>
      </w:r>
    </w:p>
    <w:p>
      <w:pPr>
        <w:autoSpaceDN w:val="0"/>
        <w:autoSpaceDE w:val="0"/>
        <w:widowControl/>
        <w:spacing w:line="246" w:lineRule="exact" w:before="25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Near-Term: Existing Data, Existing Access</w:t>
      </w:r>
    </w:p>
    <w:p>
      <w:pPr>
        <w:autoSpaceDN w:val="0"/>
        <w:autoSpaceDE w:val="0"/>
        <w:widowControl/>
        <w:spacing w:line="302" w:lineRule="exact" w:before="50" w:after="0"/>
        <w:ind w:left="362" w:right="144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T-MSIS five-way cross-tabulation.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study using T-MSIS data to cross-tabulate AI/AN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enrollees by dual-eligible status, IHS access, private insurance coverage, income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band, and state would resolve the dual-eligible reconciliation, clarify the private insurance </w:t>
      </w:r>
    </w:p>
    <w:p>
      <w:pPr>
        <w:sectPr>
          <w:pgSz w:w="12240" w:h="15840"/>
          <w:pgMar w:top="724" w:right="1364" w:bottom="9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4"/>
        <w:ind w:left="0" w:right="0"/>
      </w:pPr>
    </w:p>
    <w:p>
      <w:pPr>
        <w:autoSpaceDN w:val="0"/>
        <w:autoSpaceDE w:val="0"/>
        <w:widowControl/>
        <w:spacing w:line="276" w:lineRule="exact" w:before="0" w:after="0"/>
        <w:ind w:left="362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intersection, and produce the most complete population picture available from administrative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data. This analysis could be completed within the VRDC access framework.</w:t>
      </w:r>
    </w:p>
    <w:p>
      <w:pPr>
        <w:autoSpaceDN w:val="0"/>
        <w:autoSpaceDE w:val="0"/>
        <w:widowControl/>
        <w:spacing w:line="304" w:lineRule="exact" w:before="98" w:after="0"/>
        <w:ind w:left="36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CHSDA county-level mapping.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systematic analysis of CHSDA boundaries across all 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Areas, linked to county-level AI/AN population counts, would quantify the gap between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PRC-eligible population and the IHS direct-service-eligible population. This analysis requires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GIS capacity and IHS enrollment data but no new data collection.</w:t>
      </w:r>
    </w:p>
    <w:p>
      <w:pPr>
        <w:autoSpaceDN w:val="0"/>
        <w:autoSpaceDE w:val="0"/>
        <w:widowControl/>
        <w:spacing w:line="302" w:lineRule="exact" w:before="98" w:after="0"/>
        <w:ind w:left="36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Facility-level referral data disaggregated by enrollment status.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 collects PRC referral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request data but these data are not publicly available in disaggregated form. A request to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 for facility-level PRC referral counts disaggregated by enrollment status, CHSDA status,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and referral outcome (funded vs. deferred) would substantially advance understanding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 PRC substitution mechanism.</w:t>
      </w:r>
    </w:p>
    <w:p>
      <w:pPr>
        <w:autoSpaceDN w:val="0"/>
        <w:autoSpaceDE w:val="0"/>
        <w:widowControl/>
        <w:spacing w:line="246" w:lineRule="exact" w:before="25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Medium-Term: New Data Collection Required</w:t>
      </w:r>
    </w:p>
    <w:p>
      <w:pPr>
        <w:autoSpaceDN w:val="0"/>
        <w:autoSpaceDE w:val="0"/>
        <w:widowControl/>
        <w:spacing w:line="304" w:lineRule="exact" w:before="48" w:after="0"/>
        <w:ind w:left="36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Tribal employer health insurance expenditure survey.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Tribes that self-insure or purchase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group health coverage for employees and their dependents are effectively funding a portion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of AI/AN health care from own-source revenues. No systematic national survey of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employer health expenditures exists. A survey conducted through NIHB or the National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Congress of American Indians would produce the first national estimate of the own-source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phenomenon and establish the true federal share of total Indian health financing.</w:t>
      </w:r>
    </w:p>
    <w:p>
      <w:pPr>
        <w:autoSpaceDN w:val="0"/>
        <w:autoSpaceDE w:val="0"/>
        <w:widowControl/>
        <w:spacing w:line="304" w:lineRule="exact" w:before="100" w:after="0"/>
        <w:ind w:left="36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Non-enrolled descendant population estimation.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Using IHS user registration data (which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records genealogical eligibility separately from Tribal enrollment status), it is possible to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estimate the size of the non-enrolled descendant population receiving direct IHS services. </w:t>
      </w:r>
    </w:p>
    <w:p>
      <w:pPr>
        <w:autoSpaceDN w:val="0"/>
        <w:autoSpaceDE w:val="0"/>
        <w:widowControl/>
        <w:spacing w:line="302" w:lineRule="exact" w:before="2" w:after="0"/>
        <w:ind w:left="362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analysis requires IHS cooperation and data access but not new external data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collection. It would substantially refine the trust responsibility denominator used in Paper V.</w:t>
      </w:r>
    </w:p>
    <w:p>
      <w:pPr>
        <w:autoSpaceDN w:val="0"/>
        <w:autoSpaceDE w:val="0"/>
        <w:widowControl/>
        <w:spacing w:line="246" w:lineRule="exact" w:before="258" w:after="0"/>
        <w:ind w:left="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Longer-Term: Policy or Infrastructure Change Required</w:t>
      </w:r>
    </w:p>
    <w:p>
      <w:pPr>
        <w:autoSpaceDN w:val="0"/>
        <w:autoSpaceDE w:val="0"/>
        <w:widowControl/>
        <w:spacing w:line="304" w:lineRule="exact" w:before="48" w:after="0"/>
        <w:ind w:left="36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Full Mathematica/NIHB mandatory funding estimate.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Mathematica/NIHB full-funding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study, funded by the Robert Wood Johnson Foundation and presented in interim form at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2025 Tribal Health Data Symposium, uses HHS-HCC risk scores to estimate what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actuarially fair, mandatory-funded AI/AN health coverage would cost. The interim Medicaid-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only findings (27% higher risk score, suggesting a substantially higher Medicaid-component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cost — an illustrative extrapolation from the risk score, not a study finding) must be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extended to include Medicare and IHS components before a final estimate is available. </w:t>
      </w:r>
    </w:p>
    <w:p>
      <w:pPr>
        <w:autoSpaceDN w:val="0"/>
        <w:autoSpaceDE w:val="0"/>
        <w:widowControl/>
        <w:spacing w:line="302" w:lineRule="exact" w:before="2" w:after="0"/>
        <w:ind w:left="362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When complete, this study will be the most rigorous external benchmark for the obligation-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based framework in Paper V.</w:t>
      </w:r>
    </w:p>
    <w:p>
      <w:pPr>
        <w:autoSpaceDN w:val="0"/>
        <w:autoSpaceDE w:val="0"/>
        <w:widowControl/>
        <w:spacing w:line="302" w:lineRule="exact" w:before="102" w:after="0"/>
        <w:ind w:left="36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CHSDA reform analysis.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CHSDA system was designed in a different era of AI/AN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residential geography. A substantial share of AI/AN Medicaid enrollees live outside CHSDA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boundaries and are therefore ineligible for PRC funding even when IHS is their primary care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source. A policy analysis of standardized national CHSDA definitions—what expansion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scenarios would cost, how many currently ineligible enrollees would gain access, and what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state savings implications would be—would directly inform the 100% FMAP subsidy </w:t>
      </w:r>
    </w:p>
    <w:p>
      <w:pPr>
        <w:sectPr>
          <w:pgSz w:w="12240" w:h="15840"/>
          <w:pgMar w:top="722" w:right="1360" w:bottom="868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2"/>
        <w:ind w:left="0" w:right="0"/>
      </w:pPr>
    </w:p>
    <w:p>
      <w:pPr>
        <w:autoSpaceDN w:val="0"/>
        <w:autoSpaceDE w:val="0"/>
        <w:widowControl/>
        <w:spacing w:line="276" w:lineRule="exact" w:before="0" w:after="0"/>
        <w:ind w:left="384" w:right="576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analysis in Paper III.  No change should be made without Tribal input since the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system has utilize the current process to establish delivery areas for many years.</w:t>
      </w:r>
    </w:p>
    <w:p>
      <w:pPr>
        <w:autoSpaceDN w:val="0"/>
        <w:autoSpaceDE w:val="0"/>
        <w:widowControl/>
        <w:spacing w:line="304" w:lineRule="exact" w:before="100" w:after="0"/>
        <w:ind w:left="38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State typology–informed prioritization framework.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three-state typology developed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series (reservation-dominant, mixed, urban-dominant) predicts meaningfully different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relationships between IHS appropriations, Medicaid enrollment, and health access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outcomes. A prioritization model built on this typology—asking where incremental 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funding would produce the greatest health gain per dollar across the 12 IHS Areas—would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make the funding gap analysis actionable for appropriations advocacy in a way that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aggregate national figures cannot.  Any such consideration would include input from Tribes.</w:t>
      </w:r>
    </w:p>
    <w:p>
      <w:pPr>
        <w:autoSpaceDN w:val="0"/>
        <w:autoSpaceDE w:val="0"/>
        <w:widowControl/>
        <w:spacing w:line="314" w:lineRule="exact" w:before="300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V. Conclusion</w:t>
      </w:r>
    </w:p>
    <w:p>
      <w:pPr>
        <w:autoSpaceDN w:val="0"/>
        <w:autoSpaceDE w:val="0"/>
        <w:widowControl/>
        <w:spacing w:line="302" w:lineRule="exact" w:before="70" w:after="0"/>
        <w:ind w:left="24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Indian Health Financing Series makes one central argument: the funding gap in Indian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is not primarily a story of insufficient appropriations. It is a story of structural architecture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— of how eligibility definitions, data systems, financing mechanisms, and governance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arrangements interact to produce the access outcomes we observe. Fixing the funding gap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requires understanding that architecture.</w:t>
      </w:r>
    </w:p>
    <w:p>
      <w:pPr>
        <w:autoSpaceDN w:val="0"/>
        <w:autoSpaceDE w:val="0"/>
        <w:widowControl/>
        <w:spacing w:line="302" w:lineRule="exact" w:before="120" w:after="0"/>
        <w:ind w:left="2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five papers establish that the population is mismeasured (Paper I), that the existing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financing system contains an invisible structural subsidy that states have not claimed credit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creating (Paper III), that expanded coverage has not proportionally expanded access (Papers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IV-A through IV-D), that the full-funding obligation is substantially larger than the IHS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appropriations debate usually acknowledges (Paper V), that the administrative data to make this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argument more precisely and credibly than at any prior point now exists — and is the product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decades of sustained Tribal advocacy (Paper II) — and that enrolled Tribal citizens outside 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service boundaries face a structurally distinct and underfunded financing environment that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trust responsibility equally requires addressing (Papers VI and VII).</w:t>
      </w:r>
    </w:p>
    <w:p>
      <w:pPr>
        <w:autoSpaceDN w:val="0"/>
        <w:autoSpaceDE w:val="0"/>
        <w:widowControl/>
        <w:spacing w:line="302" w:lineRule="exact" w:before="122" w:after="0"/>
        <w:ind w:left="24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$17.8–$18.0 billion annual shortfall estimated in Paper V is almost certainly a floor rather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than a ceiling. The PRC understatement, the non-enrolled descendant population, and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Tribal own-source phenomenon all push the true gap higher. The research agenda outlined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coda does not promise that answering these remaining questions will make the gap easier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to close. But it will make the gap harder to mischaracterize — and that is where every serious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policy reform has to begin.</w:t>
      </w:r>
    </w:p>
    <w:p>
      <w:pPr>
        <w:autoSpaceDN w:val="0"/>
        <w:autoSpaceDE w:val="0"/>
        <w:widowControl/>
        <w:spacing w:line="282" w:lineRule="exact" w:before="570" w:after="0"/>
        <w:ind w:left="24" w:right="5904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Edward J. Fox, PhD </w:t>
      </w:r>
      <w:r>
        <w:br/>
      </w:r>
      <w:r>
        <w:rPr>
          <w:rFonts w:ascii="Liberation Sans" w:hAnsi="Liberation Sans" w:eastAsia="Liberation Sans"/>
          <w:b w:val="0"/>
          <w:i/>
          <w:color w:val="555555"/>
          <w:sz w:val="22"/>
        </w:rPr>
        <w:t xml:space="preserve">April 2026 </w:t>
      </w:r>
      <w:r>
        <w:br/>
      </w:r>
      <w:r>
        <w:rPr>
          <w:rFonts w:ascii="Liberation Sans" w:hAnsi="Liberation Sans" w:eastAsia="Liberation Sans"/>
          <w:b w:val="0"/>
          <w:i/>
          <w:color w:val="555555"/>
          <w:sz w:val="20"/>
        </w:rPr>
        <w:t>Indian Health Financing Series · Coda</w:t>
      </w:r>
    </w:p>
    <w:sectPr w:rsidR="00FC693F" w:rsidRPr="0006063C" w:rsidSect="00034616">
      <w:pgSz w:w="12240" w:h="15840"/>
      <w:pgMar w:top="724" w:right="1374" w:bottom="1250" w:left="141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IhfMask" Type="http://schemas.openxmlformats.org/officeDocument/2006/relationships/image" Target="media/ihf_mas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