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3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2095500</wp:posOffset>
            </wp:positionV>
            <wp:extent cx="5943600" cy="5867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74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7"/>
        <w:gridCol w:w="4697"/>
      </w:tblGrid>
      <w:tr>
        <w:trPr>
          <w:trHeight w:hRule="atLeast" w:val="228"/>
        </w:trPr>
        <w:tc>
          <w:tcPr>
            <w:tcW w:type="dxa" w:w="4628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7A6E"/>
                <w:sz w:val="18"/>
              </w:rPr>
              <w:t>Indian Health Financing Series</w:t>
            </w:r>
          </w:p>
        </w:tc>
        <w:tc>
          <w:tcPr>
            <w:tcW w:type="dxa" w:w="4746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3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Urban Indian Health Papers</w:t>
            </w:r>
          </w:p>
        </w:tc>
      </w:tr>
    </w:tbl>
    <w:p>
      <w:pPr>
        <w:autoSpaceDN w:val="0"/>
        <w:autoSpaceDE w:val="0"/>
        <w:widowControl/>
        <w:spacing w:line="290" w:lineRule="exact" w:before="944" w:after="0"/>
        <w:ind w:left="10" w:right="6336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0"/>
        </w:rPr>
        <w:t xml:space="preserve">Indian Health Financing Series </w:t>
      </w:r>
      <w:r>
        <w:br/>
      </w:r>
      <w:r>
        <w:rPr>
          <w:rFonts w:ascii="Liberation Sans" w:hAnsi="Liberation Sans" w:eastAsia="Liberation Sans"/>
          <w:b/>
          <w:i w:val="0"/>
          <w:color w:val="6B1F2A"/>
          <w:sz w:val="20"/>
        </w:rPr>
        <w:t>Paper VII</w:t>
      </w:r>
    </w:p>
    <w:p>
      <w:pPr>
        <w:autoSpaceDN w:val="0"/>
        <w:autoSpaceDE w:val="0"/>
        <w:widowControl/>
        <w:spacing w:line="414" w:lineRule="exact" w:before="80" w:after="0"/>
        <w:ind w:left="10" w:right="576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36"/>
        </w:rPr>
        <w:t xml:space="preserve">The Cost of Extending 100% FMAP to Urban Indian </w:t>
      </w:r>
      <w:r>
        <w:rPr>
          <w:rFonts w:ascii="Liberation Sans" w:hAnsi="Liberation Sans" w:eastAsia="Liberation Sans"/>
          <w:b/>
          <w:i w:val="0"/>
          <w:color w:val="1A1A1A"/>
          <w:sz w:val="36"/>
        </w:rPr>
        <w:t>Organizations: A Program-Level Estimate</w:t>
      </w:r>
    </w:p>
    <w:p>
      <w:pPr>
        <w:autoSpaceDN w:val="0"/>
        <w:autoSpaceDE w:val="0"/>
        <w:widowControl/>
        <w:spacing w:line="268" w:lineRule="exact" w:before="128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/>
          <w:color w:val="444444"/>
          <w:sz w:val="24"/>
        </w:rPr>
        <w:t>A Working Paper in the Indian Health Financing Series</w:t>
      </w:r>
    </w:p>
    <w:p>
      <w:pPr>
        <w:autoSpaceDN w:val="0"/>
        <w:autoSpaceDE w:val="0"/>
        <w:widowControl/>
        <w:spacing w:line="314" w:lineRule="exact" w:before="138" w:after="0"/>
        <w:ind w:left="10" w:right="7200" w:firstLine="0"/>
        <w:jc w:val="left"/>
      </w:pPr>
      <w:r>
        <w:rPr>
          <w:rFonts w:ascii="Liberation Sans" w:hAnsi="Liberation Sans" w:eastAsia="Liberation Sans"/>
          <w:b/>
          <w:i w:val="0"/>
          <w:color w:val="1A1A1A"/>
          <w:sz w:val="22"/>
        </w:rPr>
        <w:t xml:space="preserve">Edward J. Fox, PhD </w:t>
      </w:r>
      <w:r>
        <w:br/>
      </w:r>
      <w:r>
        <w:rPr>
          <w:rFonts w:ascii="Liberation Sans" w:hAnsi="Liberation Sans" w:eastAsia="Liberation Sans"/>
          <w:b w:val="0"/>
          <w:i w:val="0"/>
          <w:color w:val="444444"/>
          <w:sz w:val="22"/>
        </w:rPr>
        <w:t>April 2026</w:t>
      </w:r>
    </w:p>
    <w:p>
      <w:pPr>
        <w:keepNext/>
        <w:spacing w:before="240" w:after="0"/>
        <w:jc w:val="center"/>
      </w:pPr>
      <w:r>
        <w:drawing>
          <wp:inline xmlns:a="http://schemas.openxmlformats.org/drawingml/2006/main" xmlns:pic="http://schemas.openxmlformats.org/drawingml/2006/picture">
            <wp:extent cx="1463040" cy="1828800"/>
            <wp:docPr id="9901" name="Carved mas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01" name="mask.png"/>
                    <pic:cNvPicPr/>
                  </pic:nvPicPr>
                  <pic:blipFill>
                    <a:blip r:embed="rIdIhfMask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828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240"/>
        <w:jc w:val="center"/>
      </w:pPr>
      <w:r>
        <w:rPr>
          <w:i/>
          <w:color w:val="888888"/>
          <w:sz w:val="16"/>
        </w:rPr>
        <w:t>Carved mask, gift to the author from the Port Gamble S’Klallam Tribe</w:t>
      </w:r>
    </w:p>
    <w:p>
      <w:pPr>
        <w:autoSpaceDN w:val="0"/>
        <w:autoSpaceDE w:val="0"/>
        <w:widowControl/>
        <w:spacing w:line="268" w:lineRule="exact" w:before="522" w:after="0"/>
        <w:ind w:left="210" w:right="288" w:firstLine="0"/>
        <w:jc w:val="left"/>
      </w:pPr>
      <w:r>
        <w:rPr>
          <w:rFonts w:ascii="Liberation Sans" w:hAnsi="Liberation Sans" w:eastAsia="Liberation Sans"/>
          <w:b/>
          <w:i w:val="0"/>
          <w:color w:val="8B6914"/>
          <w:sz w:val="20"/>
        </w:rPr>
        <w:t xml:space="preserve">Author's Note </w:t>
      </w:r>
      <w:r>
        <w:br/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This note presents an independent estimate of the federal cost of extending 100% Federal Medical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Assistance Percentage to Urban Indian Organizations, based on 2015 program-level visit data. The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author has direct experience with Indian health financing policy but limited direct operational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experience with UIOs as program administrators. The analysis is offered as a methodological check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on existing published estimates rather than a definitive accounting. Readers with current UIO billing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>and utilization data should treat the figures here as a 2015 baseline subject to updating.</w:t>
      </w:r>
    </w:p>
    <w:p>
      <w:pPr>
        <w:autoSpaceDN w:val="0"/>
        <w:autoSpaceDE w:val="0"/>
        <w:widowControl/>
        <w:spacing w:line="312" w:lineRule="exact" w:before="860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Abstract</w:t>
      </w:r>
    </w:p>
    <w:p>
      <w:pPr>
        <w:autoSpaceDN w:val="0"/>
        <w:autoSpaceDE w:val="0"/>
        <w:widowControl/>
        <w:spacing w:line="304" w:lineRule="exact" w:before="110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Two published estimates frame the current policy debate over permanent 100% FMAP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Urban Indian Organizations: the Congressional Budget Office estimate of approximately $941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million to $1 billion over ten years, and the National Council of Urban Indian Health estimate of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$547 million over the same period. Both are derived from top-down per-patient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cost models applied to the full 41-UIO system.</w:t>
      </w:r>
    </w:p>
    <w:p>
      <w:pPr>
        <w:autoSpaceDN w:val="0"/>
        <w:autoSpaceDE w:val="0"/>
        <w:widowControl/>
        <w:spacing w:line="302" w:lineRule="exact" w:before="120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paper provides a program-level cost estimate using 2015 UDS visit data for the 32 UIOs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that supplied primary care patient data, with each program’s actual state FMAP applied to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AI/AN Medicaid visit share. California, with its large UIO system and high non-Indian patient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share, requires a blended rate mechanism rather than straight 100% FMAP; the California-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specific analysis is addressed separately.</w:t>
      </w:r>
    </w:p>
    <w:p>
      <w:pPr>
        <w:autoSpaceDN w:val="0"/>
        <w:autoSpaceDE w:val="0"/>
        <w:widowControl/>
        <w:spacing w:line="304" w:lineRule="exact" w:before="120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Using 2015 program-level visit data for 32 UIOs, the annual federal cost of extending 100%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FMAP — the state share shifted to the federal government — is estimated at approximately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$33–59 million annually depending on the Medicaid utilization rate assumed (50–90% of AI/AN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visits). The blended rate mechanism for California and other states with significant non-Indian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patient shares is addressed separately.</w:t>
      </w:r>
    </w:p>
    <w:p>
      <w:pPr>
        <w:autoSpaceDN w:val="0"/>
        <w:autoSpaceDE w:val="0"/>
        <w:widowControl/>
        <w:spacing w:line="314" w:lineRule="exact" w:before="380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I.  Background: Published Estimates and Their Limitations</w:t>
      </w:r>
    </w:p>
    <w:p>
      <w:pPr>
        <w:autoSpaceDN w:val="0"/>
        <w:autoSpaceDE w:val="0"/>
        <w:widowControl/>
        <w:spacing w:line="268" w:lineRule="exact" w:before="246" w:after="68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The CBO Estimate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7"/>
        <w:gridCol w:w="4697"/>
      </w:tblGrid>
      <w:tr>
        <w:trPr>
          <w:trHeight w:hRule="atLeast" w:val="226"/>
        </w:trPr>
        <w:tc>
          <w:tcPr>
            <w:tcW w:type="dxa" w:w="901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6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© 2026 Edward J. Fox, PhD</w:t>
            </w:r>
          </w:p>
        </w:tc>
        <w:tc>
          <w:tcPr>
            <w:tcW w:type="dxa" w:w="35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0" w:right="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16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8" w:right="1414" w:bottom="348" w:left="143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952500</wp:posOffset>
            </wp:positionH>
            <wp:positionV relativeFrom="page">
              <wp:posOffset>2095500</wp:posOffset>
            </wp:positionV>
            <wp:extent cx="5549900" cy="58674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58674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23"/>
        <w:gridCol w:w="4723"/>
      </w:tblGrid>
      <w:tr>
        <w:trPr>
          <w:trHeight w:hRule="atLeast" w:val="228"/>
        </w:trPr>
        <w:tc>
          <w:tcPr>
            <w:tcW w:type="dxa" w:w="4628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7A6E"/>
                <w:sz w:val="18"/>
              </w:rPr>
              <w:t>Indian Health Financing Series</w:t>
            </w:r>
          </w:p>
        </w:tc>
        <w:tc>
          <w:tcPr>
            <w:tcW w:type="dxa" w:w="4746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3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Urban Indian Health Papers</w:t>
            </w:r>
          </w:p>
        </w:tc>
      </w:tr>
    </w:tbl>
    <w:p>
      <w:pPr>
        <w:autoSpaceDN w:val="0"/>
        <w:autoSpaceDE w:val="0"/>
        <w:widowControl/>
        <w:spacing w:line="304" w:lineRule="exact" w:before="446" w:after="0"/>
        <w:ind w:left="10" w:right="43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Congressional Budget Office estimated the ten-year cost of permanent 100% FMAP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UIOs at approximately $941 million to $1 billion in its FY2021 scoring of Section 9815 of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American Rescue Plan Act. This estimate used a top-down per-patient methodology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applied the full 41-UIO count.</w:t>
      </w:r>
    </w:p>
    <w:p>
      <w:pPr>
        <w:autoSpaceDN w:val="0"/>
        <w:autoSpaceDE w:val="0"/>
        <w:widowControl/>
        <w:spacing w:line="268" w:lineRule="exact" w:before="298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The NCUIH Estimate</w:t>
      </w:r>
    </w:p>
    <w:p>
      <w:pPr>
        <w:autoSpaceDN w:val="0"/>
        <w:autoSpaceDE w:val="0"/>
        <w:widowControl/>
        <w:spacing w:line="304" w:lineRule="exact" w:before="68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National Council of Urban Indian Health published an estimate of approximately $547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million over ten years, using T-MSIS administrative claims data for AI/AN patients at UIOs.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NCUIH estimate is methodologically stronger than the CBO estimate in that it uses actual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Medicaid billing data rather than per-patient assumptions, and applies to the full 41-UIO system.</w:t>
      </w:r>
    </w:p>
    <w:p>
      <w:pPr>
        <w:autoSpaceDN w:val="0"/>
        <w:autoSpaceDE w:val="0"/>
        <w:widowControl/>
        <w:spacing w:line="268" w:lineRule="exact" w:before="298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The Oklahoma Programs</w:t>
      </w:r>
    </w:p>
    <w:p>
      <w:pPr>
        <w:autoSpaceDN w:val="0"/>
        <w:autoSpaceDE w:val="0"/>
        <w:widowControl/>
        <w:spacing w:line="304" w:lineRule="exact" w:before="68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Both published estimates include the Oklahoma City Indian Clinic (OKCIC) and the Indian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Health Care Resource Center in Tulsa (IHCRC), and both programs are properly included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any FMAP cost estimate for UIOs. OKCIC and IHCRC are Title V IHCIA urban Indian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organizations — nonprofit corporations governed by community boards, holding IHS contracts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administered through the Office of Urban Indian Health Programs. OKCIC was incorporated in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1974 as the Central Oklahoma American Indian Health Council, a multi-tribal nonprofit formed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by Oklahoma City community leaders, physicians, and clergy responding to unmet health care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access needs among AI/AN residents. IHCRC was incorporated in 1978 as an Oklahoma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nonprofit on the recommendation of the Native American Coalition of Tulsa’s Health Committee,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following a community survey documenting unmet medical needs in the Tulsa urban Indian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population. Neither program was established by a federally recognized tribe assuming an IHS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program under ISDEAA self-determination authority; both are community-organized, multi-tribal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urban health organizations in the tradition of the post-relocation urban Indian health movement. </w:t>
      </w:r>
    </w:p>
    <w:p>
      <w:pPr>
        <w:autoSpaceDN w:val="0"/>
        <w:autoSpaceDE w:val="0"/>
        <w:widowControl/>
        <w:spacing w:line="302" w:lineRule="exact" w:before="2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Both face the same FMAP gap as every other Title V UIO. A question sometimes raised 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whether OKCIC or IHCRC might qualify as P.L. 93-638 Tribal programs on the basis of their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501(c)(3) status, but 501(c)(3) status and 638 contractor status are not mutually exclusive —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Northwest Portland Area Indian Health Board holds both simultaneously. The operative question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is the legal authority under which the IHS contract is held. For OKCIC and IHCRC, that authority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is Title V IHCIA, administered through the OUIHP, not ISDEAA. The IHS Urban Indian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Organization Infrastructure Study (2024) explicitly classifies both programs as “Urban Indian-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only programs.”</w:t>
      </w:r>
    </w:p>
    <w:p>
      <w:pPr>
        <w:autoSpaceDN w:val="0"/>
        <w:autoSpaceDE w:val="0"/>
        <w:widowControl/>
        <w:spacing w:line="302" w:lineRule="exact" w:before="122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cost estimate in this paper uses 2015 UDS program-level data for the 32 UIOs that supplied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primary care patient data to the Infrastructure Study, which represents the best available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program-level dataset. OKCIC and IHCRC are among the 41 UIOs; the 32-program scope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reflects the availability of program-level UDS data, not any legal distinction among programs.</w:t>
      </w:r>
    </w:p>
    <w:p>
      <w:pPr>
        <w:autoSpaceDN w:val="0"/>
        <w:autoSpaceDE w:val="0"/>
        <w:widowControl/>
        <w:spacing w:line="314" w:lineRule="exact" w:before="380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II.  Methodology</w:t>
      </w:r>
    </w:p>
    <w:p>
      <w:pPr>
        <w:autoSpaceDN w:val="0"/>
        <w:autoSpaceDE w:val="0"/>
        <w:widowControl/>
        <w:spacing w:line="268" w:lineRule="exact" w:before="246" w:after="902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Data 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23"/>
        <w:gridCol w:w="4723"/>
      </w:tblGrid>
      <w:tr>
        <w:trPr>
          <w:trHeight w:hRule="atLeast" w:val="226"/>
        </w:trPr>
        <w:tc>
          <w:tcPr>
            <w:tcW w:type="dxa" w:w="901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6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© 2026 Edward J. Fox, PhD</w:t>
            </w:r>
          </w:p>
        </w:tc>
        <w:tc>
          <w:tcPr>
            <w:tcW w:type="dxa" w:w="39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17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8" w:right="1362" w:bottom="348" w:left="143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2095500</wp:posOffset>
            </wp:positionV>
            <wp:extent cx="5956300" cy="6311900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119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04"/>
        <w:gridCol w:w="4704"/>
      </w:tblGrid>
      <w:tr>
        <w:trPr>
          <w:trHeight w:hRule="atLeast" w:val="228"/>
        </w:trPr>
        <w:tc>
          <w:tcPr>
            <w:tcW w:type="dxa" w:w="4628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7A6E"/>
                <w:sz w:val="18"/>
              </w:rPr>
              <w:t>Indian Health Financing Series</w:t>
            </w:r>
          </w:p>
        </w:tc>
        <w:tc>
          <w:tcPr>
            <w:tcW w:type="dxa" w:w="4746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3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Urban Indian Health Papers</w:t>
            </w:r>
          </w:p>
        </w:tc>
      </w:tr>
    </w:tbl>
    <w:p>
      <w:pPr>
        <w:autoSpaceDN w:val="0"/>
        <w:autoSpaceDE w:val="0"/>
        <w:widowControl/>
        <w:spacing w:line="302" w:lineRule="exact" w:before="446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analysis uses the 2015 Urban Indian Organization National Uniform Data System (UDS)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summary report, published by the IHS Office of Urban Indian Health Programs. The 2015 UDS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provides program-level visit counts, patient counts, and payer mix data for the full UIO system.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This is the most granular publicly available program-level dataset; more recent UDS data at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program level were not available for this analysis.</w:t>
      </w:r>
    </w:p>
    <w:p>
      <w:pPr>
        <w:autoSpaceDN w:val="0"/>
        <w:autoSpaceDE w:val="0"/>
        <w:widowControl/>
        <w:spacing w:line="268" w:lineRule="exact" w:before="298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The Cost Calculation</w:t>
      </w:r>
    </w:p>
    <w:p>
      <w:pPr>
        <w:autoSpaceDN w:val="0"/>
        <w:autoSpaceDE w:val="0"/>
        <w:widowControl/>
        <w:spacing w:line="302" w:lineRule="exact" w:before="72" w:after="0"/>
        <w:ind w:left="10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Extending 100% FMAP to UIOs means the federal government assumes the state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share for AI/AN patients at UIOs. The incremental federal cost equals:</w:t>
      </w:r>
    </w:p>
    <w:p>
      <w:pPr>
        <w:autoSpaceDN w:val="0"/>
        <w:autoSpaceDE w:val="0"/>
        <w:widowControl/>
        <w:spacing w:line="302" w:lineRule="exact" w:before="122" w:after="0"/>
        <w:ind w:left="10" w:right="100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Incremental Federal Cost = (State FMAP share) × (AI/AN Medicaid visits) × (Medicaid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reimbursement rate per visit)</w:t>
      </w:r>
    </w:p>
    <w:p>
      <w:pPr>
        <w:autoSpaceDN w:val="0"/>
        <w:autoSpaceDE w:val="0"/>
        <w:widowControl/>
        <w:spacing w:line="302" w:lineRule="exact" w:before="122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For each UIO with available data, the calculation applies: (1) the state’s standard FMAP (i.e.,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share currently paid by the state that would shift to federal), (2) estimated AI/AN Medicaid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visit volume derived from UDS patient and utilization data, and (3) the FQHC Prospective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Payment System rate applicable in that state.</w:t>
      </w:r>
    </w:p>
    <w:p>
      <w:pPr>
        <w:autoSpaceDN w:val="0"/>
        <w:autoSpaceDE w:val="0"/>
        <w:widowControl/>
        <w:spacing w:line="268" w:lineRule="exact" w:before="298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Medicaid Utilization Assumption</w:t>
      </w:r>
    </w:p>
    <w:p>
      <w:pPr>
        <w:autoSpaceDN w:val="0"/>
        <w:autoSpaceDE w:val="0"/>
        <w:widowControl/>
        <w:spacing w:line="304" w:lineRule="exact" w:before="70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2015 UDS does not report AI/AN Medicaid visits as a distinct line; it reports total visits and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total Medicaid visits and patient counts by race/ethnicity in aggregate. This paper uses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sensitivity range of 50–90% of AI/AN patient visits being Medicaid-billable — a conservative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floor assumption consistent with the IHS-access population's Medicaid coverage rates, with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upper bound reflecting high-Medicaid-dependency programs.</w:t>
      </w:r>
    </w:p>
    <w:p>
      <w:pPr>
        <w:autoSpaceDN w:val="0"/>
        <w:autoSpaceDE w:val="0"/>
        <w:widowControl/>
        <w:spacing w:line="312" w:lineRule="exact" w:before="380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III.  Findings</w:t>
      </w:r>
    </w:p>
    <w:p>
      <w:pPr>
        <w:autoSpaceDN w:val="0"/>
        <w:autoSpaceDE w:val="0"/>
        <w:widowControl/>
        <w:spacing w:line="268" w:lineRule="exact" w:before="248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National Estimate (32 UIOs with Program-Level Data)</w:t>
      </w:r>
    </w:p>
    <w:p>
      <w:pPr>
        <w:autoSpaceDN w:val="0"/>
        <w:autoSpaceDE w:val="0"/>
        <w:widowControl/>
        <w:spacing w:line="302" w:lineRule="exact" w:before="70" w:after="20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Using 2015 UDS program-level data for the 32 UIOs that supplied primary care patient data,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estimated annual incremental federal cost of extending 100% FMAP is approximately $33–59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million annually at 50–90% Medicaid utilization assumptions. The ten-year cost is approximately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$330–590 million — substantially below the CBO ten-year estimate of $941 million–$1 billion,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reflecting the use of program-level visit data rather than per-patient cost assumptions.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8.000000000000114" w:type="dxa"/>
      </w:tblPr>
      <w:tblGrid>
        <w:gridCol w:w="3136"/>
        <w:gridCol w:w="3136"/>
        <w:gridCol w:w="3136"/>
      </w:tblGrid>
      <w:tr>
        <w:trPr>
          <w:trHeight w:hRule="atLeast" w:val="288"/>
        </w:trPr>
        <w:tc>
          <w:tcPr>
            <w:tcW w:type="dxa" w:w="3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>Medicaid Utilization Assumption</w:t>
            </w:r>
          </w:p>
        </w:tc>
        <w:tc>
          <w:tcPr>
            <w:tcW w:type="dxa" w:w="3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26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 xml:space="preserve">Annual Incremental Federal </w:t>
            </w:r>
          </w:p>
        </w:tc>
        <w:tc>
          <w:tcPr>
            <w:tcW w:type="dxa" w:w="21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10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>Ten-Year Cost</w:t>
            </w:r>
          </w:p>
        </w:tc>
      </w:tr>
    </w:tbl>
    <w:p>
      <w:pPr>
        <w:autoSpaceDN w:val="0"/>
        <w:autoSpaceDE w:val="0"/>
        <w:widowControl/>
        <w:spacing w:line="224" w:lineRule="exact" w:before="2" w:after="108"/>
        <w:ind w:left="0" w:right="5234" w:firstLine="0"/>
        <w:jc w:val="right"/>
      </w:pPr>
      <w:r>
        <w:rPr>
          <w:rFonts w:ascii="Liberation Sans" w:hAnsi="Liberation Sans" w:eastAsia="Liberation Sans"/>
          <w:b/>
          <w:i w:val="0"/>
          <w:color w:val="FFFFFF"/>
          <w:sz w:val="20"/>
        </w:rPr>
        <w:t>Cost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8.000000000000114" w:type="dxa"/>
      </w:tblPr>
      <w:tblGrid>
        <w:gridCol w:w="3136"/>
        <w:gridCol w:w="3136"/>
        <w:gridCol w:w="3136"/>
      </w:tblGrid>
      <w:tr>
        <w:trPr>
          <w:trHeight w:hRule="atLeast" w:val="370"/>
        </w:trPr>
        <w:tc>
          <w:tcPr>
            <w:tcW w:type="dxa" w:w="33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50% (conservative floor)</w:t>
            </w:r>
          </w:p>
        </w:tc>
        <w:tc>
          <w:tcPr>
            <w:tcW w:type="dxa" w:w="20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~$33M</w:t>
            </w:r>
          </w:p>
        </w:tc>
        <w:tc>
          <w:tcPr>
            <w:tcW w:type="dxa" w:w="2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60" w:after="0"/>
              <w:ind w:left="0" w:right="103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~$330M</w:t>
            </w:r>
          </w:p>
        </w:tc>
      </w:tr>
      <w:tr>
        <w:trPr>
          <w:trHeight w:hRule="atLeast" w:val="440"/>
        </w:trPr>
        <w:tc>
          <w:tcPr>
            <w:tcW w:type="dxa" w:w="33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2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70% (mid-range)</w:t>
            </w:r>
          </w:p>
        </w:tc>
        <w:tc>
          <w:tcPr>
            <w:tcW w:type="dxa" w:w="20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20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~$46M</w:t>
            </w:r>
          </w:p>
        </w:tc>
        <w:tc>
          <w:tcPr>
            <w:tcW w:type="dxa" w:w="2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20" w:after="0"/>
              <w:ind w:left="0" w:right="103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~$460M</w:t>
            </w:r>
          </w:p>
        </w:tc>
      </w:tr>
      <w:tr>
        <w:trPr>
          <w:trHeight w:hRule="atLeast" w:val="392"/>
        </w:trPr>
        <w:tc>
          <w:tcPr>
            <w:tcW w:type="dxa" w:w="33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08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90% (high-Medicaid-dependency)</w:t>
            </w:r>
          </w:p>
        </w:tc>
        <w:tc>
          <w:tcPr>
            <w:tcW w:type="dxa" w:w="20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08" w:after="0"/>
              <w:ind w:left="32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~$59M</w:t>
            </w:r>
          </w:p>
        </w:tc>
        <w:tc>
          <w:tcPr>
            <w:tcW w:type="dxa" w:w="2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08" w:after="0"/>
              <w:ind w:left="0" w:right="103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~$590M</w:t>
            </w:r>
          </w:p>
        </w:tc>
      </w:tr>
    </w:tbl>
    <w:p>
      <w:pPr>
        <w:autoSpaceDN w:val="0"/>
        <w:autoSpaceDE w:val="0"/>
        <w:widowControl/>
        <w:spacing w:line="268" w:lineRule="exact" w:before="558" w:after="892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California Concentration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704"/>
        <w:gridCol w:w="4704"/>
      </w:tblGrid>
      <w:tr>
        <w:trPr>
          <w:trHeight w:hRule="atLeast" w:val="226"/>
        </w:trPr>
        <w:tc>
          <w:tcPr>
            <w:tcW w:type="dxa" w:w="901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6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© 2026 Edward J. Fox, PhD</w:t>
            </w:r>
          </w:p>
        </w:tc>
        <w:tc>
          <w:tcPr>
            <w:tcW w:type="dxa" w:w="37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0" w:right="1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18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8" w:right="1400" w:bottom="348" w:left="143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2095500</wp:posOffset>
            </wp:positionV>
            <wp:extent cx="5956300" cy="5867400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58674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8"/>
        <w:gridCol w:w="4698"/>
      </w:tblGrid>
      <w:tr>
        <w:trPr>
          <w:trHeight w:hRule="atLeast" w:val="228"/>
        </w:trPr>
        <w:tc>
          <w:tcPr>
            <w:tcW w:type="dxa" w:w="4628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7A6E"/>
                <w:sz w:val="18"/>
              </w:rPr>
              <w:t>Indian Health Financing Series</w:t>
            </w:r>
          </w:p>
        </w:tc>
        <w:tc>
          <w:tcPr>
            <w:tcW w:type="dxa" w:w="4746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3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Urban Indian Health Papers</w:t>
            </w:r>
          </w:p>
        </w:tc>
      </w:tr>
    </w:tbl>
    <w:p>
      <w:pPr>
        <w:autoSpaceDN w:val="0"/>
        <w:autoSpaceDE w:val="0"/>
        <w:widowControl/>
        <w:spacing w:line="302" w:lineRule="exact" w:before="446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California accounts for approximately 32% of the total estimated cost of extending 100% FMAP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to the UIOs in the dataset, reflecting both the scale of California’s UIO system and the state’s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relatively lower FMAP (meaning a larger state share currently). California also has the most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significant non-Indian patient complication: several California UIOs serve patient populations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that are 40–60% non-AI/AN due to their FQHC obligations.</w:t>
      </w:r>
    </w:p>
    <w:p>
      <w:pPr>
        <w:autoSpaceDN w:val="0"/>
        <w:autoSpaceDE w:val="0"/>
        <w:widowControl/>
        <w:spacing w:line="302" w:lineRule="exact" w:before="122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blended rate mechanism is required for California rather than straight 100% FMAP.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mechanism: (1) document the AI/AN patient share at each California UIO using IHS eligibility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verification, (2) apply 100% FMAP to Medicaid claims for verified AI/AN patients, and (3) apply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standard California FMAP (approximately 50%) to Medicaid claims for non-AI/AN patients.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net federal cost for California at 70% AI/AN utilization is approximately $15M annually.</w:t>
      </w:r>
    </w:p>
    <w:p>
      <w:pPr>
        <w:autoSpaceDN w:val="0"/>
        <w:autoSpaceDE w:val="0"/>
        <w:widowControl/>
        <w:spacing w:line="268" w:lineRule="exact" w:before="298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4"/>
        </w:rPr>
        <w:t>OMB Rate Access</w:t>
      </w:r>
    </w:p>
    <w:p>
      <w:pPr>
        <w:autoSpaceDN w:val="0"/>
        <w:autoSpaceDE w:val="0"/>
        <w:widowControl/>
        <w:spacing w:line="304" w:lineRule="exact" w:before="68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separate but related policy question is whether UIOs should be permitted to bill Medicaid at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IHS all-inclusive encounter rate rather than the FQHC Prospective Payment System rate.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IHS facilities bill at approximately $427 per visit (the 2015 OMB rate); FQHC PPS rates in the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same period averaged approximately $287. Extending OMB rate access to UIOs would add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approximately $8–14M annually to the federal cost on top of the 100% FMAP estimate — an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incremental cost, not an alternative to it.</w:t>
      </w:r>
    </w:p>
    <w:p>
      <w:pPr>
        <w:autoSpaceDN w:val="0"/>
        <w:autoSpaceDE w:val="0"/>
        <w:widowControl/>
        <w:spacing w:line="312" w:lineRule="exact" w:before="380" w:after="19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IV.  Comparison with Published Estimates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8.000000000000114" w:type="dxa"/>
      </w:tblPr>
      <w:tblGrid>
        <w:gridCol w:w="1879"/>
        <w:gridCol w:w="1879"/>
        <w:gridCol w:w="1879"/>
        <w:gridCol w:w="1879"/>
        <w:gridCol w:w="1879"/>
      </w:tblGrid>
      <w:tr>
        <w:trPr>
          <w:trHeight w:hRule="atLeast" w:val="284"/>
        </w:trPr>
        <w:tc>
          <w:tcPr>
            <w:tcW w:type="dxa" w:w="12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>Estimate</w:t>
            </w:r>
          </w:p>
        </w:tc>
        <w:tc>
          <w:tcPr>
            <w:tcW w:type="dxa" w:w="19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40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>Source</w:t>
            </w:r>
          </w:p>
        </w:tc>
        <w:tc>
          <w:tcPr>
            <w:tcW w:type="dxa" w:w="22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176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>10-Year Cost</w:t>
            </w:r>
          </w:p>
        </w:tc>
        <w:tc>
          <w:tcPr>
            <w:tcW w:type="dxa" w:w="20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20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>Methodology</w:t>
            </w:r>
          </w:p>
        </w:tc>
        <w:tc>
          <w:tcPr>
            <w:tcW w:type="dxa" w:w="17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138" w:firstLine="0"/>
              <w:jc w:val="righ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20"/>
              </w:rPr>
              <w:t xml:space="preserve">Oklahoma </w:t>
            </w:r>
          </w:p>
        </w:tc>
      </w:tr>
    </w:tbl>
    <w:p>
      <w:pPr>
        <w:autoSpaceDN w:val="0"/>
        <w:autoSpaceDE w:val="0"/>
        <w:widowControl/>
        <w:spacing w:line="228" w:lineRule="exact" w:before="0" w:after="110"/>
        <w:ind w:left="8090" w:right="288" w:firstLine="0"/>
        <w:jc w:val="left"/>
      </w:pPr>
      <w:r>
        <w:rPr>
          <w:rFonts w:ascii="Liberation Sans" w:hAnsi="Liberation Sans" w:eastAsia="Liberation Sans"/>
          <w:b/>
          <w:i w:val="0"/>
          <w:color w:val="FFFFFF"/>
          <w:sz w:val="20"/>
        </w:rPr>
        <w:t xml:space="preserve">Programs </w:t>
      </w:r>
      <w:r>
        <w:br/>
      </w:r>
      <w:r>
        <w:rPr>
          <w:rFonts w:ascii="Liberation Sans" w:hAnsi="Liberation Sans" w:eastAsia="Liberation Sans"/>
          <w:b/>
          <w:i w:val="0"/>
          <w:color w:val="FFFFFF"/>
          <w:sz w:val="20"/>
        </w:rPr>
        <w:t>Included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8.000000000000114" w:type="dxa"/>
      </w:tblPr>
      <w:tblGrid>
        <w:gridCol w:w="1879"/>
        <w:gridCol w:w="1879"/>
        <w:gridCol w:w="1879"/>
        <w:gridCol w:w="1879"/>
        <w:gridCol w:w="1879"/>
      </w:tblGrid>
      <w:tr>
        <w:trPr>
          <w:trHeight w:hRule="atLeast" w:val="292"/>
        </w:trPr>
        <w:tc>
          <w:tcPr>
            <w:tcW w:type="dxa" w:w="1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CBO (2021)</w:t>
            </w:r>
          </w:p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Congressional Budget </w:t>
            </w:r>
          </w:p>
        </w:tc>
        <w:tc>
          <w:tcPr>
            <w:tcW w:type="dxa" w:w="15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~$941M–$1B</w:t>
            </w:r>
          </w:p>
        </w:tc>
        <w:tc>
          <w:tcPr>
            <w:tcW w:type="dxa" w:w="2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Top-down per-patient 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60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Yes — all 41 </w:t>
            </w:r>
          </w:p>
        </w:tc>
      </w:tr>
      <w:tr>
        <w:trPr>
          <w:trHeight w:hRule="atLeast" w:val="358"/>
        </w:trPr>
        <w:tc>
          <w:tcPr>
            <w:tcW w:type="dxa" w:w="15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460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NCUIH (2023)</w:t>
            </w:r>
          </w:p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2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Office</w:t>
            </w:r>
          </w:p>
        </w:tc>
        <w:tc>
          <w:tcPr>
            <w:tcW w:type="dxa" w:w="15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460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~$547M</w:t>
            </w:r>
          </w:p>
        </w:tc>
        <w:tc>
          <w:tcPr>
            <w:tcW w:type="dxa" w:w="2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2" w:after="0"/>
              <w:ind w:left="20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model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2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UIOs</w:t>
            </w:r>
          </w:p>
        </w:tc>
      </w:tr>
      <w:tr>
        <w:trPr>
          <w:trHeight w:hRule="atLeast" w:val="342"/>
        </w:trPr>
        <w:tc>
          <w:tcPr>
            <w:tcW w:type="dxa" w:w="1879"/>
            <w:vMerge/>
            <w:tcBorders/>
          </w:tcPr>
          <w:p/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0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Natl. Council of Urban </w:t>
            </w:r>
          </w:p>
        </w:tc>
        <w:tc>
          <w:tcPr>
            <w:tcW w:type="dxa" w:w="1879"/>
            <w:vMerge/>
            <w:tcBorders/>
          </w:tcPr>
          <w:p/>
        </w:tc>
        <w:tc>
          <w:tcPr>
            <w:tcW w:type="dxa" w:w="2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02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T-MSIS administrative 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102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Yes — all 41 </w:t>
            </w:r>
          </w:p>
        </w:tc>
      </w:tr>
      <w:tr>
        <w:trPr>
          <w:trHeight w:hRule="atLeast" w:val="350"/>
        </w:trPr>
        <w:tc>
          <w:tcPr>
            <w:tcW w:type="dxa" w:w="15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45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This analysis</w:t>
            </w:r>
          </w:p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4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Indian Health</w:t>
            </w:r>
          </w:p>
        </w:tc>
        <w:tc>
          <w:tcPr>
            <w:tcW w:type="dxa" w:w="15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45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~$330–590M</w:t>
            </w:r>
          </w:p>
        </w:tc>
        <w:tc>
          <w:tcPr>
            <w:tcW w:type="dxa" w:w="24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4" w:after="0"/>
              <w:ind w:left="20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claims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24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UIOs</w:t>
            </w:r>
          </w:p>
        </w:tc>
      </w:tr>
      <w:tr>
        <w:trPr>
          <w:trHeight w:hRule="atLeast" w:val="330"/>
        </w:trPr>
        <w:tc>
          <w:tcPr>
            <w:tcW w:type="dxa" w:w="1879"/>
            <w:vMerge/>
            <w:tcBorders/>
          </w:tcPr>
          <w:p/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0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Fox (2026), 2015 UDS </w:t>
            </w:r>
          </w:p>
        </w:tc>
        <w:tc>
          <w:tcPr>
            <w:tcW w:type="dxa" w:w="1879"/>
            <w:vMerge/>
            <w:tcBorders/>
          </w:tcPr>
          <w:p/>
        </w:tc>
        <w:tc>
          <w:tcPr>
            <w:tcW w:type="dxa" w:w="24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0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Program-level visit data</w:t>
            </w:r>
          </w:p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04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32 UIOs with </w:t>
            </w:r>
          </w:p>
        </w:tc>
      </w:tr>
      <w:tr>
        <w:trPr>
          <w:trHeight w:hRule="atLeast" w:val="280"/>
        </w:trPr>
        <w:tc>
          <w:tcPr>
            <w:tcW w:type="dxa" w:w="1879"/>
            <w:vMerge/>
            <w:tcBorders/>
          </w:tcPr>
          <w:p/>
        </w:tc>
        <w:tc>
          <w:tcPr>
            <w:tcW w:type="dxa" w:w="2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8" w:after="0"/>
              <w:ind w:left="18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data</w:t>
            </w:r>
          </w:p>
        </w:tc>
        <w:tc>
          <w:tcPr>
            <w:tcW w:type="dxa" w:w="1879"/>
            <w:vMerge/>
            <w:tcBorders/>
          </w:tcPr>
          <w:p/>
        </w:tc>
        <w:tc>
          <w:tcPr>
            <w:tcW w:type="dxa" w:w="1879"/>
            <w:vMerge/>
            <w:tcBorders/>
          </w:tcPr>
          <w:p/>
        </w:tc>
        <w:tc>
          <w:tcPr>
            <w:tcW w:type="dxa" w:w="13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38" w:after="0"/>
              <w:ind w:left="142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data (of 41 </w:t>
            </w:r>
          </w:p>
        </w:tc>
      </w:tr>
    </w:tbl>
    <w:p>
      <w:pPr>
        <w:autoSpaceDN w:val="0"/>
        <w:autoSpaceDE w:val="0"/>
        <w:widowControl/>
        <w:spacing w:line="224" w:lineRule="exact" w:before="20" w:after="0"/>
        <w:ind w:left="0" w:right="862" w:firstLine="0"/>
        <w:jc w:val="right"/>
      </w:pPr>
      <w:r>
        <w:rPr>
          <w:rFonts w:ascii="Liberation Sans" w:hAnsi="Liberation Sans" w:eastAsia="Liberation Sans"/>
          <w:b w:val="0"/>
          <w:i w:val="0"/>
          <w:color w:val="1A1A1A"/>
          <w:sz w:val="20"/>
        </w:rPr>
        <w:t>total)</w:t>
      </w:r>
    </w:p>
    <w:p>
      <w:pPr>
        <w:autoSpaceDN w:val="0"/>
        <w:autoSpaceDE w:val="0"/>
        <w:widowControl/>
        <w:spacing w:line="304" w:lineRule="exact" w:before="480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gap between this analysis and the CBO estimate reflects primarily the use of program-level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visit data rather than per-patient cost assumptions. The gap with the NCUIH estimate is smaller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and partly reflects data vintage (2015 UDS vs. more recent T-MSIS data). All three estimates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carry significant uncertainty; the most defensible policy figure is a range of $33–59M annually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rather than a point estimate.</w:t>
      </w:r>
    </w:p>
    <w:p>
      <w:pPr>
        <w:autoSpaceDN w:val="0"/>
        <w:autoSpaceDE w:val="0"/>
        <w:widowControl/>
        <w:spacing w:line="314" w:lineRule="exact" w:before="380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V.  Policy Implications</w:t>
      </w:r>
    </w:p>
    <w:p>
      <w:pPr>
        <w:autoSpaceDN w:val="0"/>
        <w:autoSpaceDE w:val="0"/>
        <w:widowControl/>
        <w:spacing w:line="302" w:lineRule="exact" w:before="110" w:after="562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cost of extending 100% FMAP to UIOs is modest relative to the obligation — approximately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$46M annually at the mid-range estimate using 2015 program-level data. This compares to a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8"/>
        <w:gridCol w:w="4698"/>
      </w:tblGrid>
      <w:tr>
        <w:trPr>
          <w:trHeight w:hRule="atLeast" w:val="226"/>
        </w:trPr>
        <w:tc>
          <w:tcPr>
            <w:tcW w:type="dxa" w:w="901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6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© 2026 Edward J. Fox, PhD</w:t>
            </w:r>
          </w:p>
        </w:tc>
        <w:tc>
          <w:tcPr>
            <w:tcW w:type="dxa" w:w="35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0" w:right="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19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8" w:right="1412" w:bottom="348" w:left="143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2095500</wp:posOffset>
            </wp:positionV>
            <wp:extent cx="5943600" cy="5867400"/>
            <wp:wrapNone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740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7"/>
        <w:gridCol w:w="4697"/>
      </w:tblGrid>
      <w:tr>
        <w:trPr>
          <w:trHeight w:hRule="atLeast" w:val="228"/>
        </w:trPr>
        <w:tc>
          <w:tcPr>
            <w:tcW w:type="dxa" w:w="4628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7A6E"/>
                <w:sz w:val="18"/>
              </w:rPr>
              <w:t>Indian Health Financing Series</w:t>
            </w:r>
          </w:p>
        </w:tc>
        <w:tc>
          <w:tcPr>
            <w:tcW w:type="dxa" w:w="4746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3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Urban Indian Health Papers</w:t>
            </w:r>
          </w:p>
        </w:tc>
      </w:tr>
    </w:tbl>
    <w:p>
      <w:pPr>
        <w:autoSpaceDN w:val="0"/>
        <w:autoSpaceDE w:val="0"/>
        <w:widowControl/>
        <w:spacing w:line="304" w:lineRule="exact" w:before="446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total IHS appropriation of approximately $7.2B in FY2024. The 100% FMAP extension is not 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fiscal stretch; it is the application of the trust responsibility Medicaid obligation to patients who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happen to use a UIO rather than an IHS or Tribal facility.</w:t>
      </w:r>
    </w:p>
    <w:p>
      <w:pPr>
        <w:autoSpaceDN w:val="0"/>
        <w:autoSpaceDE w:val="0"/>
        <w:widowControl/>
        <w:spacing w:line="302" w:lineRule="exact" w:before="120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The California blended rate mechanism is important as a policy design precedent. It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demonstrates that 100% FMAP extension does not require ignoring the non-Indian patient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reality — it requires a verification-based patient-level determination, not a program-level blanket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rule. This design is more legally defensible and more consistent with the trust responsibility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rationale.</w:t>
      </w:r>
    </w:p>
    <w:p>
      <w:pPr>
        <w:autoSpaceDN w:val="0"/>
        <w:autoSpaceDE w:val="0"/>
        <w:widowControl/>
        <w:spacing w:line="270" w:lineRule="exact" w:before="290" w:after="0"/>
        <w:ind w:left="210" w:right="144" w:firstLine="0"/>
        <w:jc w:val="left"/>
      </w:pPr>
      <w:r>
        <w:rPr>
          <w:rFonts w:ascii="Liberation Sans" w:hAnsi="Liberation Sans" w:eastAsia="Liberation Sans"/>
          <w:b/>
          <w:i w:val="0"/>
          <w:color w:val="6B1F2A"/>
          <w:sz w:val="20"/>
        </w:rPr>
        <w:t xml:space="preserve">Legislative Context: H.R. 4722 </w:t>
      </w:r>
      <w:r>
        <w:br/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The Urban Indian Health Parity Act (H.R. 4722) would permanently extend 100% FMAP to UIOs. The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cost estimate in this paper supports the legislative case: the annual incremental federal cost is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modest, the trust responsibility basis is well-established, and the program-level methodology grounds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 xml:space="preserve">the estimate in actual visit data rather than per-patient cost assumptions. A blended rate mechanism </w:t>
      </w:r>
      <w:r>
        <w:rPr>
          <w:rFonts w:ascii="Liberation Sans" w:hAnsi="Liberation Sans" w:eastAsia="Liberation Sans"/>
          <w:b w:val="0"/>
          <w:i/>
          <w:color w:val="1A1A1A"/>
          <w:sz w:val="20"/>
        </w:rPr>
        <w:t>for California and other high-non-Indian-share states can be incorporated into the legislative design.</w:t>
      </w:r>
    </w:p>
    <w:p>
      <w:pPr>
        <w:autoSpaceDN w:val="0"/>
        <w:autoSpaceDE w:val="0"/>
        <w:widowControl/>
        <w:spacing w:line="312" w:lineRule="exact" w:before="860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8"/>
        </w:rPr>
        <w:t>References</w:t>
      </w:r>
    </w:p>
    <w:p>
      <w:pPr>
        <w:autoSpaceDN w:val="0"/>
        <w:autoSpaceDE w:val="0"/>
        <w:widowControl/>
        <w:spacing w:line="304" w:lineRule="exact" w:before="108" w:after="0"/>
        <w:ind w:left="10" w:right="43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Congressional Budget Office. (2021). Estimate of budgetary effects of Section 9815 of H.R.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1319, American Rescue Plan Act of 2021.</w:t>
      </w:r>
    </w:p>
    <w:p>
      <w:pPr>
        <w:autoSpaceDN w:val="0"/>
        <w:autoSpaceDE w:val="0"/>
        <w:widowControl/>
        <w:spacing w:line="304" w:lineRule="exact" w:before="118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Fox, E. J. (2015). Urban Indian program cost estimate for 100% FMAP and right to bill at OMB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all-inclusive encounter rate. Unpublished analytical memorandum.</w:t>
      </w:r>
    </w:p>
    <w:p>
      <w:pPr>
        <w:autoSpaceDN w:val="0"/>
        <w:autoSpaceDE w:val="0"/>
        <w:widowControl/>
        <w:spacing w:line="304" w:lineRule="exact" w:before="118" w:after="0"/>
        <w:ind w:left="1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Fox, E. J. (2026). Urban Indian health programs and the Indian health non-system: A structural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analysis. Indian Health Financing Series, Paper VI.</w:t>
      </w:r>
    </w:p>
    <w:p>
      <w:pPr>
        <w:autoSpaceDN w:val="0"/>
        <w:autoSpaceDE w:val="0"/>
        <w:widowControl/>
        <w:spacing w:line="302" w:lineRule="exact" w:before="120" w:after="0"/>
        <w:ind w:left="10" w:right="14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Indian Health Service, Office of Urban Indian Health Programs. (2021). Urban Indian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Organization National Uniform Data System summary report, 2015. U.S. Department of Health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and Human Services.</w:t>
      </w:r>
    </w:p>
    <w:p>
      <w:pPr>
        <w:autoSpaceDN w:val="0"/>
        <w:autoSpaceDE w:val="0"/>
        <w:widowControl/>
        <w:spacing w:line="302" w:lineRule="exact" w:before="122" w:after="0"/>
        <w:ind w:left="10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National Council of Urban Indian Health. (2023). An overview of Medicaid and healthcare for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American Indians and Alaska Natives. NCUIH.</w:t>
      </w:r>
    </w:p>
    <w:p>
      <w:pPr>
        <w:autoSpaceDN w:val="0"/>
        <w:autoSpaceDE w:val="0"/>
        <w:widowControl/>
        <w:spacing w:line="302" w:lineRule="exact" w:before="122" w:after="3230"/>
        <w:ind w:left="10" w:right="288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National Council of Urban Indian Health. (2023). States again shoulder the cost of an unmet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federal trust responsibility. NCUIH.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7"/>
        <w:gridCol w:w="4697"/>
      </w:tblGrid>
      <w:tr>
        <w:trPr>
          <w:trHeight w:hRule="atLeast" w:val="226"/>
        </w:trPr>
        <w:tc>
          <w:tcPr>
            <w:tcW w:type="dxa" w:w="901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6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© 2026 Edward J. Fox, PhD</w:t>
            </w:r>
          </w:p>
        </w:tc>
        <w:tc>
          <w:tcPr>
            <w:tcW w:type="dxa" w:w="35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0" w:right="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2240" w:h="15840"/>
          <w:pgMar w:top="358" w:right="1414" w:bottom="348" w:left="143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3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7"/>
        <w:gridCol w:w="4697"/>
      </w:tblGrid>
      <w:tr>
        <w:trPr>
          <w:trHeight w:hRule="atLeast" w:val="228"/>
        </w:trPr>
        <w:tc>
          <w:tcPr>
            <w:tcW w:type="dxa" w:w="4628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7A6E"/>
                <w:sz w:val="18"/>
              </w:rPr>
              <w:t>Indian Health Financing Series</w:t>
            </w:r>
          </w:p>
        </w:tc>
        <w:tc>
          <w:tcPr>
            <w:tcW w:type="dxa" w:w="4746"/>
            <w:tcBorders>
              <w:bottom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338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Urban Indian Health Papers</w:t>
            </w:r>
          </w:p>
        </w:tc>
      </w:tr>
    </w:tbl>
    <w:p>
      <w:pPr>
        <w:autoSpaceDN w:val="0"/>
        <w:autoSpaceDE w:val="0"/>
        <w:widowControl/>
        <w:spacing w:line="222" w:lineRule="exact" w:before="1012" w:after="0"/>
        <w:ind w:left="10" w:right="0" w:firstLine="0"/>
        <w:jc w:val="left"/>
      </w:pPr>
      <w:r>
        <w:rPr>
          <w:rFonts w:ascii="Liberation Sans" w:hAnsi="Liberation Sans" w:eastAsia="Liberation Sans"/>
          <w:b/>
          <w:i w:val="0"/>
          <w:color w:val="1A7A6E"/>
          <w:sz w:val="20"/>
        </w:rPr>
        <w:t>Indian Health Financing Series</w:t>
      </w:r>
    </w:p>
    <w:p>
      <w:pPr>
        <w:autoSpaceDN w:val="0"/>
        <w:autoSpaceDE w:val="0"/>
        <w:widowControl/>
        <w:spacing w:line="240" w:lineRule="auto" w:before="1124" w:after="2350"/>
        <w:ind w:left="68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5549900" cy="5867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5867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697"/>
        <w:gridCol w:w="4697"/>
      </w:tblGrid>
      <w:tr>
        <w:trPr>
          <w:trHeight w:hRule="atLeast" w:val="226"/>
        </w:trPr>
        <w:tc>
          <w:tcPr>
            <w:tcW w:type="dxa" w:w="901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26" w:after="0"/>
              <w:ind w:left="1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666666"/>
                <w:sz w:val="18"/>
              </w:rPr>
              <w:t>© 2026 Edward J. Fox, PhD</w:t>
            </w:r>
          </w:p>
        </w:tc>
        <w:tc>
          <w:tcPr>
            <w:tcW w:type="dxa" w:w="354"/>
            <w:tcBorders>
              <w:top w:sz="6.0" w:val="single" w:color="#1A7A6E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0" w:right="0" w:firstLine="0"/>
              <w:jc w:val="righ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2"/>
              </w:rPr>
              <w:t>21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2240" w:h="15840"/>
      <w:pgMar w:top="358" w:right="1414" w:bottom="348" w:left="143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IhfMask" Type="http://schemas.openxmlformats.org/officeDocument/2006/relationships/image" Target="media/ihf_mas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